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5654E9">
      <w:r>
        <w:rPr>
          <w:rFonts w:ascii="Segoe UI" w:hAnsi="Segoe UI" w:cs="Segoe UI"/>
          <w:color w:val="212529"/>
          <w:shd w:val="clear" w:color="auto" w:fill="FFFFFF"/>
        </w:rPr>
        <w:t>Это место просто невозможно пропустить, оказавшись в Севилье, ведь помимо величины, оно ещё примечательно и тем, что в соборе находится гробница Христофора Колумба. Здание собора было заложено ещё в 15 веке, на том месте, где до этого со времён Реконкисты находилась арабская мечеть. Великая святыня впитала в себя ряд архитектурных стилей, но преобладающей является готика. Поражает великолепием и внутреннее убранство, отдельного внимания стоят цветные витражные окна, огромная капелла с пламенеющим сводом, скульптуры иконостаса по сюжетам Евангелия.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38"/>
    <w:rsid w:val="005654E9"/>
    <w:rsid w:val="009A1238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2021-11-21T12:01:00Z</dcterms:created>
  <dcterms:modified xsi:type="dcterms:W3CDTF">2021-11-21T12:01:00Z</dcterms:modified>
</cp:coreProperties>
</file>