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23486E">
      <w:r>
        <w:rPr>
          <w:rFonts w:ascii="Segoe UI" w:hAnsi="Segoe UI" w:cs="Segoe UI"/>
          <w:color w:val="212529"/>
          <w:shd w:val="clear" w:color="auto" w:fill="FFFFFF"/>
        </w:rPr>
        <w:t>Церковь Спасителя 17 века располагается на одноимённой площади в старом центре Севильи. Со временем, спустя век, было решено отреставрировать храм, и он обрёл новый архитектурный облик в стиле чурригереско. Этот стиль взял начало в талантливой семье зодчих, носящих фамилию Чурригера, в 15-16 веках. Именно тенденции, внесённые Чурригерами в оформление сооружений, привнесли некоторые важные детали в стиль барокко. Храм привлекает не только великолепием своего фасада, но и прекрасным позолоченным алтарём, светлыми расписными потолками и стенами, передающими важные религиозные сюжеты.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A5"/>
    <w:rsid w:val="0023486E"/>
    <w:rsid w:val="004A67A5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2021-11-21T12:01:00Z</dcterms:created>
  <dcterms:modified xsi:type="dcterms:W3CDTF">2021-11-21T12:01:00Z</dcterms:modified>
</cp:coreProperties>
</file>