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603D21">
      <w:r>
        <w:rPr>
          <w:rFonts w:ascii="Segoe UI" w:hAnsi="Segoe UI" w:cs="Segoe UI"/>
          <w:color w:val="212529"/>
          <w:shd w:val="clear" w:color="auto" w:fill="FFFFFF"/>
        </w:rPr>
        <w:t>Лучшие достопримечательности Лиона, без сомнения, сосредоточены на холме Фурвьер. Великая эпоха Римской Империи произвела на свет множество бесценных памяток. Античный театра Лиона был сооружен ещё во времена правления основателя Империи – Октавиана Августа. В наше время эта достопримечательность привлекает ежегодно тысячи туристов. Кроме того, здесь сезонно проводится знаменитый фестиваль «Ночи на Фурвьере». В архитектурный ансамбль входят также античное поселение и одеон. Благодаря естественной акустике театра, музыкальные мероприятия удаётся проводить здесь с оглушительным успехом.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E1"/>
    <w:rsid w:val="004564E1"/>
    <w:rsid w:val="00603D2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2021-11-21T12:44:00Z</dcterms:created>
  <dcterms:modified xsi:type="dcterms:W3CDTF">2021-11-21T12:44:00Z</dcterms:modified>
</cp:coreProperties>
</file>