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rFonts w:eastAsia="Times New Roman" w:cs="Times New Roman"/>
          <w:bCs w:val="false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«Буран»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М8О-113БВ-24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А.Р.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 А.В.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Бобровников Я.М.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</w:r>
            <w:r>
              <w:rPr>
                <w:rStyle w:val="Style5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6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>1. 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/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>
          <w:color w:val="00A014"/>
          <w:sz w:val="28"/>
          <w:szCs w:val="28"/>
        </w:rPr>
      </w:r>
    </w:p>
    <w:p>
      <w:pPr>
        <w:pStyle w:val="Heading1"/>
        <w:numPr>
          <w:ilvl w:val="0"/>
          <w:numId w:val="0"/>
        </w:numPr>
        <w:ind w:hanging="0" w:left="720" w:right="0"/>
        <w:rPr>
          <w:sz w:val="28"/>
          <w:szCs w:val="28"/>
        </w:rPr>
      </w:pPr>
      <w:bookmarkStart w:id="5" w:name="__RefHeading___Toc3813_2316535557"/>
      <w:bookmarkStart w:id="6" w:name="_Toc1214812100"/>
      <w:bookmarkStart w:id="7" w:name="_Toc1833946045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1478955540"/>
      <w:bookmarkStart w:id="13" w:name="_Toc215173711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Бобровников Я.М. - теоретик, презентатор.</w:t>
      </w:r>
      <w:r>
        <w:rPr/>
        <w:t xml:space="preserve"> Отвечает за поиск теоретической информации, работу с полученными данными при моделировании полёта в Kerbal Space Program, составление презентации.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14" w:name="__RefHeading___Toc3873_2316535557"/>
      <w:bookmarkEnd w:id="14"/>
      <w:r>
        <w:rPr/>
        <w:t xml:space="preserve">3. </w:t>
      </w:r>
      <w:bookmarkStart w:id="15" w:name="_Toc1874299701"/>
      <w:bookmarkStart w:id="16" w:name="_Toc220684602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647320549"/>
      <w:bookmarkStart w:id="19" w:name="_Toc769054521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>
          <w:color w:val="00A014"/>
        </w:rPr>
      </w:r>
      <w:r>
        <w:br w:type="page"/>
      </w:r>
    </w:p>
    <w:p>
      <w:pPr>
        <w:pStyle w:val="Heading2"/>
        <w:spacing w:before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Heading2"/>
        <w:spacing w:before="0" w:after="0"/>
        <w:ind w:hanging="0" w:left="720" w:right="0"/>
        <w:rPr/>
      </w:pPr>
      <w:r>
        <w:rPr/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1"/>
        <w:spacing w:lineRule="auto" w:line="360"/>
        <w:ind w:firstLine="708"/>
        <w:jc w:val="both"/>
        <w:rPr/>
      </w:pPr>
      <w:r>
        <w:rPr>
          <w:rFonts w:eastAsia="Times New Roman" w:cs="Times New Roman"/>
          <w:sz w:val="28"/>
          <w:szCs w:val="28"/>
        </w:rPr>
        <w:t>В рамках физико-математической модели для определения скорости, развиваемой кораблём-ракетопланом в результате действия реактивного двигателя (двигателей) будем применять формулу Циолковского</w:t>
      </w:r>
      <w:r>
        <w:rPr>
          <w:rStyle w:val="FootnoteReference"/>
          <w:rFonts w:eastAsia="Times New Roman" w:cs="Times New Roman"/>
          <w:sz w:val="28"/>
          <w:szCs w:val="28"/>
        </w:rPr>
        <w:footnoteReference w:id="2"/>
      </w:r>
      <w:r>
        <w:rPr>
          <w:rFonts w:eastAsia="Times New Roman" w:cs="Times New Roman"/>
          <w:sz w:val="28"/>
          <w:szCs w:val="28"/>
        </w:rPr>
        <w:t>. Как известно, для одноступенчатого корабля она имеет вид:</w:t>
      </w:r>
    </w:p>
    <w:p>
      <w:pPr>
        <w:pStyle w:val="normal11"/>
        <w:shd w:val="clear" w:color="auto" w:fill="FFFFFF"/>
        <w:spacing w:before="100" w:after="10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конечная скорость летательного аппарата (характеристическая скорость), также обозначаемая как ΔV.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удельный импульс ракетного двигателя </w:t>
      </w:r>
      <w:r>
        <w:rPr>
          <w:rFonts w:eastAsia="Times New Roman" w:cs="Times New Roman"/>
          <w:color w:val="202122"/>
          <w:sz w:val="28"/>
          <w:szCs w:val="28"/>
        </w:rPr>
        <w:t>(отношение тяги двигателя к массовому расходу топлива за секунду)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начальная масса летательного аппарата. Эта величина представляет собой сумму масс конструкции аппарата, полезной нагрузки и топлива.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>—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конечная масса летательного аппарата. Эта величина представляет собой сумму масс конструкции аппарата и полезной нагрузки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highlight w:val="white"/>
        </w:rPr>
      </w:pPr>
      <w:r>
        <w:rPr>
          <w:rFonts w:eastAsia="Times New Roman" w:cs="Times New Roman"/>
          <w:color w:val="202122"/>
          <w:highlight w:val="white"/>
        </w:rPr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11"/>
        <w:ind w:firstLine="1134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число ступеней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</w:rPr>
        <w:t>номер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/>
          <w:color w:val="202122"/>
          <w:sz w:val="28"/>
          <w:szCs w:val="28"/>
        </w:rPr>
        <w:t xml:space="preserve"> </w:t>
      </w:r>
    </w:p>
    <w:p>
      <w:pPr>
        <w:pStyle w:val="normal11"/>
        <w:spacing w:lineRule="auto" w:line="360" w:before="4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11"/>
        <w:spacing w:lineRule="auto" w:line="360" w:before="40" w:after="140"/>
        <w:ind w:hanging="0"/>
        <w:jc w:val="both"/>
        <w:rPr>
          <w:rFonts w:ascii="Times New Roman" w:hAnsi="Times New Roman" w:eastAsia="Times New Roman" w:cs="Times New Roman"/>
          <w:color w:val="202122"/>
          <w:sz w:val="12"/>
          <w:szCs w:val="12"/>
          <w:highlight w:val="white"/>
        </w:rPr>
      </w:pPr>
      <w:r>
        <w:rPr>
          <w:rFonts w:eastAsia="Times New Roman" w:cs="Times New Roman"/>
          <w:color w:val="202122"/>
          <w:sz w:val="12"/>
          <w:szCs w:val="12"/>
          <w:highlight w:val="white"/>
        </w:rPr>
      </w:r>
    </w:p>
    <w:p>
      <w:pPr>
        <w:pStyle w:val="normal11"/>
        <w:spacing w:lineRule="auto" w:line="360" w:before="0" w:after="14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11"/>
        <w:spacing w:lineRule="auto" w:line="360"/>
        <w:ind w:firstLine="709"/>
        <w:jc w:val="both"/>
        <w:rPr/>
      </w:pPr>
      <w:r>
        <w:rPr>
          <w:rFonts w:eastAsia="Times New Roman" w:cs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1"/>
        <w:spacing w:lineRule="auto" w:line="360"/>
        <w:ind w:hanging="0"/>
        <w:jc w:val="both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</w:t>
      </w:r>
      <w:r>
        <w:rPr>
          <w:rStyle w:val="FootnoteReference"/>
          <w:rFonts w:eastAsia="Times New Roman" w:cs="Times New Roman"/>
          <w:color w:val="202122"/>
          <w:sz w:val="28"/>
          <w:szCs w:val="28"/>
          <w:highlight w:val="white"/>
        </w:rPr>
        <w:footnoteReference w:id="3"/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/>
          <w:b/>
          <w:i/>
          <w:color w:val="202122"/>
          <w:sz w:val="28"/>
          <w:szCs w:val="28"/>
          <w:highlight w:val="white"/>
        </w:rPr>
        <w:tab/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  <w:t>P — тяга двигателя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11"/>
        <w:spacing w:before="40" w:after="140"/>
        <w:ind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1"/>
        <w:spacing w:before="40" w:after="140"/>
        <w:ind w:hanging="0"/>
        <w:jc w:val="left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:</w:t>
      </w:r>
    </w:p>
    <w:p>
      <w:pPr>
        <w:pStyle w:val="normal11"/>
        <w:spacing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rad>
            </m:den>
          </m:f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cs="Times New Roman"/>
          <w:sz w:val="28"/>
          <w:szCs w:val="28"/>
        </w:rPr>
        <w:t>Где: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/>
          <w:b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в выражении для расхода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7"/>
          <w:szCs w:val="27"/>
          <w:highlight w:val="white"/>
        </w:rPr>
        <w:t>: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k</m:t>
              </m:r>
            </m:e>
          </m:ra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(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den>
              </m:f>
            </m:sup>
          </m:sSup>
        </m:oMath>
      </m:oMathPara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</m:oMath>
      <w:r>
        <w:rPr/>
        <w:t xml:space="preserve"> </w:t>
      </w:r>
      <w:r>
        <w:rPr>
          <w:rFonts w:cs="Times New Roman"/>
          <w:sz w:val="28"/>
          <w:szCs w:val="28"/>
        </w:rPr>
        <w:t xml:space="preserve">—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площадь критического сечения сопла, рассчитываемая по формуле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</w:rPr>
        <w:t>2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: </w:t>
      </w:r>
    </w:p>
    <w:p>
      <w:pPr>
        <w:pStyle w:val="normal11"/>
        <w:spacing w:lineRule="auto" w:line="360"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>)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33"/>
          <w:szCs w:val="33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— давление в камере сгорания и на срезе сопла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коэффициент адиабаты </w:t>
      </w:r>
    </w:p>
    <w:p>
      <w:pPr>
        <w:pStyle w:val="normal11"/>
        <w:spacing w:lineRule="auto" w:line="360" w:before="40" w:after="14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= 1.4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температура продуктов сгорания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>
          <w:rFonts w:eastAsia="Times New Roman" w:cs="Times New Roman"/>
          <w:color w:val="202122"/>
          <w:sz w:val="28"/>
          <w:szCs w:val="28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/>
          <w:color w:val="202122"/>
          <w:sz w:val="25"/>
          <w:szCs w:val="25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— диаметр критического сечения сопла </w:t>
      </w:r>
    </w:p>
    <w:p>
      <w:pPr>
        <w:pStyle w:val="normal11"/>
        <w:spacing w:lineRule="auto" w:line="360" w:before="40" w:after="140"/>
        <w:ind w:hanging="0"/>
        <w:jc w:val="lef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— газовая постоянная </w:t>
      </w:r>
    </w:p>
    <w:p>
      <w:pPr>
        <w:pStyle w:val="normal11"/>
        <w:spacing w:before="40" w:after="140"/>
        <w:ind w:firstLine="708"/>
        <w:jc w:val="center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11"/>
        <w:spacing w:lineRule="auto" w:line="360"/>
        <w:jc w:val="both"/>
        <w:rPr/>
      </w:pPr>
      <w:r>
        <w:rPr>
          <w:sz w:val="28"/>
          <w:szCs w:val="28"/>
        </w:rPr>
        <w:tab/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11"/>
        <w:jc w:val="center"/>
        <w:rPr/>
      </w:pPr>
      <w:bookmarkStart w:id="26" w:name="__RefHeading___Toc1570_531997371"/>
      <w:bookmarkEnd w:id="26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11"/>
        <w:jc w:val="left"/>
        <w:rPr/>
      </w:pPr>
      <w:r>
        <w:rPr/>
        <w:t>Где:</w:t>
      </w:r>
    </w:p>
    <w:p>
      <w:pPr>
        <w:pStyle w:val="normal11"/>
        <w:jc w:val="left"/>
        <w:rPr/>
      </w:pPr>
      <w:r>
        <w:rPr>
          <w:b w:val="false"/>
          <w:color w:val="000000"/>
          <w:lang w:val="en-US"/>
        </w:rPr>
        <w:tab/>
        <w:t>G</w:t>
      </w:r>
      <w:r>
        <w:rPr>
          <w:b w:val="false"/>
          <w:color w:val="000000"/>
        </w:rPr>
        <w:t xml:space="preserve"> — гравитационная постоянная</w:t>
      </w:r>
    </w:p>
    <w:p>
      <w:pPr>
        <w:pStyle w:val="normal11"/>
        <w:rPr/>
      </w:pPr>
      <w:bookmarkStart w:id="27" w:name="__RefHeading___Toc1572_531997371"/>
      <w:bookmarkEnd w:id="27"/>
      <w:r>
        <w:rPr>
          <w:b w:val="false"/>
          <w:color w:val="000000"/>
          <w:lang w:val="en-US"/>
        </w:rPr>
        <w:t>G</w:t>
      </w:r>
      <w:r>
        <w:rPr>
          <w:b w:val="false"/>
          <w:color w:val="000000"/>
        </w:rPr>
        <w:t xml:space="preserve"> ≈ </w:t>
      </w:r>
      <w:r>
        <w:rPr>
          <w:b w:val="false"/>
        </w:rPr>
        <w:t>6,67·10</w:t>
      </w:r>
      <w:r>
        <w:rPr>
          <w:b w:val="false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vertAlign w:val="superscript"/>
        </w:rPr>
        <w:t xml:space="preserve"> </w:t>
      </w:r>
    </w:p>
    <w:p>
      <w:pPr>
        <w:pStyle w:val="normal11"/>
        <w:spacing w:lineRule="auto" w:line="360"/>
        <w:jc w:val="left"/>
        <w:rPr>
          <w:rFonts w:ascii="Times New Roman" w:hAnsi="Times New Roman"/>
        </w:rPr>
      </w:pPr>
      <w:r>
        <w:rPr>
          <w:color w:val="000000"/>
          <w:sz w:val="28"/>
          <w:szCs w:val="28"/>
          <w:lang w:val="en-US"/>
        </w:rPr>
        <w:tab/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11"/>
        <w:spacing w:lineRule="auto" w:line="360"/>
        <w:jc w:val="left"/>
        <w:rPr/>
      </w:pPr>
      <w:r>
        <w:rPr>
          <w:color w:val="000000"/>
          <w:sz w:val="28"/>
          <w:szCs w:val="28"/>
          <w:lang w:val="en-US"/>
        </w:rPr>
        <w:tab/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11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>Запишем уравнение сил в проекции на продольную ось ракеты</w:t>
      </w:r>
      <w:r>
        <w:rPr>
          <w:rStyle w:val="FootnoteReference"/>
          <w:color w:val="000000"/>
          <w:sz w:val="28"/>
          <w:szCs w:val="28"/>
        </w:rPr>
        <w:footnoteReference w:id="4"/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(1)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P — текущая тяга двигателя. </w:t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>Для нахождения величины текущей тяги двигателя необходимо учесть влияние барометрического давления на срез сопла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Таким образом:</w:t>
      </w:r>
    </w:p>
    <w:p>
      <w:pPr>
        <w:pStyle w:val="NormalWeb"/>
        <w:bidi w:val="0"/>
        <w:spacing w:beforeAutospacing="0" w:before="0" w:afterAutospacing="0" w:after="0"/>
        <w:ind w:firstLine="709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(2)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давление на текущей высоте, значение выбирается программой автоматически, в зависимости от высоты, в соответствии со значениями международной стандартной атмосферы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color w:val="000000"/>
          <w:sz w:val="28"/>
          <w:szCs w:val="28"/>
        </w:rPr>
        <w:t xml:space="preserve"> — площадь среза сопла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  <w:t>X — сила лобового сопротивления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:</w:t>
      </w:r>
    </w:p>
    <w:p>
      <w:pPr>
        <w:pStyle w:val="NormalWeb"/>
        <w:bidi w:val="0"/>
        <w:spacing w:beforeAutospacing="0" w:before="0" w:afterAutospacing="0" w:after="0"/>
        <w:ind w:hanging="0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       </w:t>
      </w:r>
      <w:r>
        <w:rPr>
          <w:sz w:val="28"/>
          <w:szCs w:val="28"/>
        </w:rPr>
        <w:t>(3)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 xml:space="preserve">Где: 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— коэффициент лобового сопротивления.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color w:val="000000"/>
          <w:sz w:val="28"/>
          <w:szCs w:val="28"/>
        </w:rPr>
        <w:t xml:space="preserve"> выбирается приближенно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  <w:shd w:fill="FFFFFF" w:val="clear"/>
        </w:rPr>
        <w:tab/>
      </w:r>
      <w:r>
        <w:rPr>
          <w:color w:val="202124"/>
          <w:sz w:val="28"/>
          <w:szCs w:val="28"/>
          <w:shd w:fill="FFFFFF" w:val="clear"/>
        </w:rPr>
        <w:t>ρ</w:t>
      </w:r>
      <w:r>
        <w:rPr>
          <w:color w:val="000000"/>
          <w:sz w:val="28"/>
          <w:szCs w:val="28"/>
        </w:rPr>
        <w:t xml:space="preserve"> — плотность воздуха на текущей высоте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V — текущая скорость</w:t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000000"/>
          <w:sz w:val="28"/>
          <w:szCs w:val="28"/>
        </w:rPr>
        <w:t xml:space="preserve"> — площадь миделевого сечения (наибольшего сечения летательного аппарата)</w:t>
      </w:r>
    </w:p>
    <w:p>
      <w:pPr>
        <w:pStyle w:val="Normal"/>
        <w:bidi w:val="0"/>
        <w:spacing w:lineRule="auto" w:line="36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>Решить уравнение (1) аналитически, ввиду переменного характера действия всех учитываемых сил, а также изменяющейся во времени массы летательного аппарата, невозможно. В связи с этим в используемой программе был реализован итерационный метод расчета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>. Для каждого момента времени можно записать: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sz w:val="28"/>
          <w:szCs w:val="28"/>
        </w:rPr>
        <w:t>(4)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dv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(5)</w:t>
      </w:r>
    </w:p>
    <w:p>
      <w:pPr>
        <w:pStyle w:val="normal11"/>
        <w:rPr/>
      </w:pPr>
      <w:r>
        <w:rPr/>
      </w:r>
    </w:p>
    <w:p>
      <w:pPr>
        <w:pStyle w:val="normal1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dt</m:t>
        </m:r>
      </m:oMath>
      <w:r>
        <w:rPr/>
        <w:t xml:space="preserve">        </w:t>
      </w:r>
      <w:r>
        <w:rPr>
          <w:rFonts w:cs="Times New Roman"/>
          <w:sz w:val="28"/>
          <w:szCs w:val="28"/>
        </w:rPr>
        <w:t>(6)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Web"/>
        <w:bidi w:val="0"/>
        <w:spacing w:lineRule="auto" w:line="360" w:beforeAutospacing="0" w:before="0" w:afterAutospacing="0" w:after="0"/>
        <w:ind w:firstLine="709" w:left="0" w:right="0"/>
        <w:jc w:val="both"/>
        <w:rPr/>
      </w:pPr>
      <w:r>
        <w:rPr>
          <w:color w:val="000000"/>
          <w:sz w:val="28"/>
          <w:szCs w:val="28"/>
        </w:rPr>
        <w:t xml:space="preserve">Программа начинает расчёты с моменты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при котором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= 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 = 0  и формирует массивы данных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 согласно (4) – (6), до некоторого момента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.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  <w:sz w:val="28"/>
          <w:szCs w:val="28"/>
        </w:rPr>
        <w:t xml:space="preserve"> — время работы двигателей. После формирования массивов данных программа ведёт расчёт величин</w:t>
      </w:r>
      <w:r>
        <w:rPr>
          <w:rFonts w:eastAsia="Times New Roman" w:cs="Times New Roman"/>
          <w:color w:val="202122"/>
          <w:sz w:val="28"/>
          <w:szCs w:val="28"/>
          <w:highlight w:val="white"/>
          <w:vertAlign w:val="superscript"/>
          <w:lang w:val="en-US"/>
        </w:rPr>
        <w:t>3</w:t>
      </w:r>
      <w:r>
        <w:rPr>
          <w:color w:val="000000"/>
          <w:sz w:val="28"/>
          <w:szCs w:val="28"/>
        </w:rPr>
        <w:t xml:space="preserve"> в соответствии с зависимостями:</w:t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mg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dv</m:t>
          </m:r>
        </m:oMath>
      </m:oMathPara>
    </w:p>
    <w:p>
      <w:pPr>
        <w:pStyle w:val="normal11"/>
        <w:rPr/>
      </w:pPr>
      <w:r>
        <w:rPr/>
      </w:r>
    </w:p>
    <w:p>
      <w:pPr>
        <w:pStyle w:val="normal11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11"/>
        <w:jc w:val="center"/>
        <w:rPr/>
      </w:pPr>
      <w:r>
        <w:rPr/>
      </w:r>
    </w:p>
    <w:p>
      <w:pPr>
        <w:pStyle w:val="NormalWeb"/>
        <w:bidi w:val="0"/>
        <w:spacing w:lineRule="auto" w:line="360" w:beforeAutospacing="0" w:before="0" w:afterAutospacing="0" w:after="0"/>
        <w:ind w:hanging="0" w:left="0" w:right="0"/>
        <w:jc w:val="both"/>
        <w:rPr/>
      </w:pPr>
      <w:r>
        <w:rPr>
          <w:color w:val="000000"/>
          <w:sz w:val="28"/>
          <w:szCs w:val="28"/>
        </w:rPr>
        <w:tab/>
        <w:t xml:space="preserve">Для подсчёта результатов математического моделирования была использована специально разработанная программа </w:t>
      </w:r>
      <w:r>
        <w:rPr>
          <w:sz w:val="28"/>
          <w:szCs w:val="28"/>
        </w:rPr>
        <w:t>на языке Python,</w:t>
      </w:r>
      <w:r>
        <w:rPr>
          <w:color w:val="000000"/>
          <w:sz w:val="28"/>
          <w:szCs w:val="28"/>
        </w:rPr>
        <w:t xml:space="preserve"> результатом работы которой - построение графика зависимости высоты полёта от времени.</w:t>
      </w:r>
    </w:p>
    <w:p>
      <w:pPr>
        <w:pStyle w:val="Heading1"/>
        <w:spacing w:before="0" w:after="0"/>
        <w:rPr/>
      </w:pPr>
      <w:r>
        <w:rPr/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28" w:name="__RefHeading___Toc3871_2316535557"/>
      <w:bookmarkEnd w:id="28"/>
      <w:r>
        <w:rPr>
          <w:rFonts w:ascii="Times New Roman" w:hAnsi="Times New Roman"/>
        </w:rPr>
        <w:t>5</w:t>
      </w:r>
      <w:bookmarkStart w:id="29" w:name="_Toc5526526"/>
      <w:bookmarkStart w:id="30" w:name="_Toc1372416495"/>
      <w:r>
        <w:rPr>
          <w:rFonts w:ascii="Times New Roman" w:hAnsi="Times New Roman"/>
        </w:rPr>
        <w:t>. 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9"/>
      <w:bookmarkEnd w:id="30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>
          <w:color w:val="FFC000"/>
          <w:lang w:val="en-US"/>
        </w:rPr>
      </w:r>
    </w:p>
    <w:p>
      <w:pPr>
        <w:pStyle w:val="Heading1"/>
        <w:rPr>
          <w:sz w:val="28"/>
          <w:szCs w:val="28"/>
        </w:rPr>
      </w:pPr>
      <w:bookmarkStart w:id="31" w:name="__RefHeading___Toc3811_2316535557"/>
      <w:bookmarkStart w:id="32" w:name="_Toc2041699024"/>
      <w:bookmarkStart w:id="33" w:name="_Toc1977815416"/>
      <w:bookmarkEnd w:id="31"/>
      <w:r>
        <w:rPr>
          <w:sz w:val="28"/>
          <w:szCs w:val="28"/>
        </w:rPr>
        <w:t>6.1. Конструирование корабля</w:t>
      </w:r>
      <w:bookmarkEnd w:id="32"/>
      <w:bookmarkEnd w:id="33"/>
    </w:p>
    <w:p>
      <w:pPr>
        <w:pStyle w:val="Heading2"/>
        <w:spacing w:before="0" w:after="0"/>
        <w:rPr>
          <w:color w:val="FFC000"/>
        </w:rPr>
      </w:pPr>
      <w:r>
        <w:rPr>
          <w:color w:val="FFC000"/>
        </w:rPr>
      </w:r>
    </w:p>
    <w:p>
      <w:pPr>
        <w:pStyle w:val="BodyText"/>
        <w:jc w:val="center"/>
        <w:rPr/>
      </w:pPr>
      <w:bookmarkStart w:id="34" w:name="__RefHeading___Toc3809_2316535557"/>
      <w:bookmarkEnd w:id="34"/>
      <w:r>
        <w:rPr/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6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Собранный к</w:t>
      </w:r>
      <w:r>
        <w:rPr>
          <w:sz w:val="28"/>
          <w:szCs w:val="28"/>
          <w:lang w:val="ru-RU"/>
        </w:rPr>
        <w:t>орабль-ракетоплан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2"/>
        <w:bidi w:val="0"/>
        <w:spacing w:before="0" w:after="0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spacing w:before="0" w:after="160"/>
        <w:rPr>
          <w:sz w:val="28"/>
          <w:szCs w:val="28"/>
        </w:rPr>
      </w:pPr>
      <w:bookmarkStart w:id="35" w:name="__RefHeading___Toc3825_2316535557"/>
      <w:bookmarkStart w:id="36" w:name="_Toc1731383114"/>
      <w:bookmarkStart w:id="37" w:name="_Toc986858467"/>
      <w:bookmarkEnd w:id="35"/>
      <w:r>
        <w:rPr>
          <w:sz w:val="28"/>
          <w:szCs w:val="28"/>
        </w:rPr>
        <w:t>6.2. Написание автопилота</w:t>
      </w:r>
      <w:bookmarkEnd w:id="36"/>
      <w:bookmarkEnd w:id="37"/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FF0000"/>
        </w:rPr>
      </w:pPr>
      <w:r>
        <w:rPr>
          <w:color w:val="FF0000"/>
        </w:rPr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8" w:name="__RefHeading___Toc3853_2316535557"/>
      <w:bookmarkEnd w:id="38"/>
      <w:r>
        <w:rPr/>
        <w:t>1. Подключение к KSP через kRPC</w:t>
      </w:r>
    </w:p>
    <w:p>
      <w:pPr>
        <w:pStyle w:val="BodyText"/>
        <w:rPr/>
      </w:pPr>
      <w:bookmarkStart w:id="39" w:name="__RefHeading___Toc3851_2316535557"/>
      <w:bookmarkEnd w:id="39"/>
      <w:r>
        <w:rPr/>
        <w:t>2. Открытие файла для записи координат</w:t>
      </w:r>
    </w:p>
    <w:p>
      <w:pPr>
        <w:pStyle w:val="BodyText"/>
        <w:rPr/>
      </w:pPr>
      <w:bookmarkStart w:id="40" w:name="__RefHeading___Toc3849_2316535557"/>
      <w:bookmarkEnd w:id="40"/>
      <w:r>
        <w:rPr/>
        <w:t>3. Функция для записи координат</w:t>
      </w:r>
    </w:p>
    <w:p>
      <w:pPr>
        <w:pStyle w:val="BodyText"/>
        <w:rPr/>
      </w:pPr>
      <w:bookmarkStart w:id="41" w:name="__RefHeading___Toc3847_2316535557"/>
      <w:bookmarkEnd w:id="41"/>
      <w:r>
        <w:rPr/>
        <w:t>4. Этап 1: Взлёт</w:t>
      </w:r>
    </w:p>
    <w:p>
      <w:pPr>
        <w:pStyle w:val="BodyText"/>
        <w:rPr/>
      </w:pPr>
      <w:bookmarkStart w:id="42" w:name="__RefHeading___Toc3845_2316535557"/>
      <w:bookmarkEnd w:id="42"/>
      <w:r>
        <w:rPr/>
        <w:t>5. Главный цикл для выхода на орбиту</w:t>
      </w:r>
    </w:p>
    <w:p>
      <w:pPr>
        <w:pStyle w:val="BodyText"/>
        <w:rPr/>
      </w:pPr>
      <w:bookmarkStart w:id="43" w:name="__RefHeading___Toc3843_2316535557"/>
      <w:bookmarkEnd w:id="43"/>
      <w:r>
        <w:rPr/>
        <w:t>6. Запись координат</w:t>
      </w:r>
    </w:p>
    <w:p>
      <w:pPr>
        <w:pStyle w:val="BodyText"/>
        <w:rPr/>
      </w:pPr>
      <w:bookmarkStart w:id="44" w:name="__RefHeading___Toc3841_2316535557"/>
      <w:bookmarkEnd w:id="44"/>
      <w:r>
        <w:rPr/>
        <w:t>7. Снижение тяги при приближении к границам подходящей высоты</w:t>
      </w:r>
    </w:p>
    <w:p>
      <w:pPr>
        <w:pStyle w:val="BodyText"/>
        <w:rPr/>
      </w:pPr>
      <w:bookmarkStart w:id="45" w:name="__RefHeading___Toc3839_2316535557"/>
      <w:bookmarkEnd w:id="45"/>
      <w:r>
        <w:rPr/>
        <w:t>8.  Этап 2: Круговая орбита</w:t>
      </w:r>
    </w:p>
    <w:p>
      <w:pPr>
        <w:pStyle w:val="BodyText"/>
        <w:rPr/>
      </w:pPr>
      <w:bookmarkStart w:id="46" w:name="__RefHeading___Toc3837_2316535557"/>
      <w:bookmarkEnd w:id="46"/>
      <w:r>
        <w:rPr/>
        <w:t>9. Манёвры для контроля высоты</w:t>
      </w:r>
    </w:p>
    <w:p>
      <w:pPr>
        <w:pStyle w:val="BodyText"/>
        <w:rPr/>
      </w:pPr>
      <w:bookmarkStart w:id="47" w:name="__RefHeading___Toc3835_2316535557"/>
      <w:bookmarkEnd w:id="47"/>
      <w:r>
        <w:rPr/>
        <w:t>10. Этап 3: Два витка вокруг Земли</w:t>
      </w:r>
    </w:p>
    <w:p>
      <w:pPr>
        <w:pStyle w:val="BodyText"/>
        <w:rPr/>
      </w:pPr>
      <w:bookmarkStart w:id="48" w:name="__RefHeading___Toc3833_2316535557"/>
      <w:bookmarkEnd w:id="48"/>
      <w:r>
        <w:rPr/>
        <w:t>11. Проверка, чтобы не покинуть орбиту</w:t>
      </w:r>
    </w:p>
    <w:p>
      <w:pPr>
        <w:pStyle w:val="BodyText"/>
        <w:rPr/>
      </w:pPr>
      <w:bookmarkStart w:id="49" w:name="__RefHeading___Toc3831_2316535557"/>
      <w:bookmarkEnd w:id="49"/>
      <w:r>
        <w:rPr/>
        <w:t>12.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0" w:name="__RefHeading___Toc3869_2316535557"/>
      <w:bookmarkStart w:id="51" w:name="_Toc1576195347"/>
      <w:bookmarkStart w:id="52" w:name="_Toc691270998"/>
      <w:bookmarkEnd w:id="50"/>
      <w:r>
        <w:rPr>
          <w:rFonts w:ascii="Times New Roman" w:hAnsi="Times New Roman"/>
        </w:rPr>
        <w:t xml:space="preserve">7. 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51"/>
      <w:bookmarkEnd w:id="52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>
          <w:rFonts w:eastAsia="Times New Roman" w:cs="Times New Roman"/>
          <w:color w:val="FF0000"/>
          <w:sz w:val="28"/>
          <w:szCs w:val="28"/>
          <w:lang w:val="en-US"/>
        </w:rPr>
      </w:r>
    </w:p>
    <w:p>
      <w:pPr>
        <w:pStyle w:val="Normal"/>
        <w:jc w:val="center"/>
        <w:rPr/>
      </w:pPr>
      <w:bookmarkStart w:id="53" w:name="__RefHeading___Toc3867_2316535557"/>
      <w:bookmarkEnd w:id="53"/>
      <w:r>
        <w:rPr>
          <w:rFonts w:eastAsia="Times New Roman" w:cs="Times New Roman"/>
          <w:sz w:val="28"/>
          <w:szCs w:val="28"/>
        </w:rPr>
        <w:t>Результат построения графика по физ-мат модели</w:t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/>
      </w:pPr>
      <w:bookmarkStart w:id="54" w:name="__RefHeading___Toc3865_2316535557"/>
      <w:bookmarkEnd w:id="54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Heading1"/>
        <w:bidi w:val="0"/>
        <w:spacing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825490" cy="3914140"/>
            <wp:effectExtent l="0" t="0" r="0" b="0"/>
            <wp:wrapSquare wrapText="largest"/>
            <wp:docPr id="7" name="Изображение6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lineRule="auto" w:line="360" w:before="0" w:after="140"/>
        <w:rPr/>
      </w:pPr>
      <w:bookmarkStart w:id="55" w:name="__RefHeading___Toc3855_2316535557"/>
      <w:bookmarkEnd w:id="55"/>
      <w:r>
        <w:rPr/>
        <w:tab/>
        <w:t xml:space="preserve">Графики не соответствуют друг другу в связи с тем, что физ-мат модель рассматривает высоту полёта сразу от нахождения  </w:t>
      </w:r>
      <w:r>
        <w:rPr>
          <w:rFonts w:eastAsia="Times New Roman" w:cs="Times New Roman"/>
        </w:rPr>
        <w:t xml:space="preserve">корабль-ракетоплана «Буран» на околоземную орбиту,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удалось добиться только плавного набора высоты. Также в </w:t>
      </w:r>
      <w:r>
        <w:rPr>
          <w:rFonts w:eastAsia="Times New Roman" w:cs="Times New Roman"/>
          <w:lang w:val="en-US"/>
        </w:rPr>
        <w:t xml:space="preserve">KSP </w:t>
      </w:r>
      <w:r>
        <w:rPr>
          <w:rFonts w:eastAsia="Times New Roman" w:cs="Times New Roman"/>
        </w:rPr>
        <w:t xml:space="preserve">не удалось добиться корректной посадки, что тоже влияет на достоверность результатов. Чтобы построить корректный график по координатам </w:t>
      </w:r>
      <w:r>
        <w:rPr>
          <w:rFonts w:eastAsia="Times New Roman" w:cs="Times New Roman"/>
          <w:lang w:val="en-US"/>
        </w:rPr>
        <w:t xml:space="preserve">KSP, </w:t>
      </w:r>
      <w:r>
        <w:rPr>
          <w:rFonts w:eastAsia="Times New Roman" w:cs="Times New Roman"/>
        </w:rPr>
        <w:t>необходимы точные расчёты, при примерных значениях добиться хорошего результата не удалось.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6" w:name="__RefHeading___Toc3859_2316535557"/>
      <w:bookmarkEnd w:id="56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1. Проект «Буран» команды «Буран» [Электронный ресурс]. URL: </w:t>
      </w:r>
      <w:hyperlink r:id="rId9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2. Отчёт по проекту «Буран» команды «Буран» [Электронный ресурс]. URL: </w:t>
      </w:r>
      <w:hyperlink r:id="rId1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3. Презентация проекта «Буран» команды «Буран» [Электронный ресурс]. URL: </w:t>
      </w:r>
      <w:hyperlink r:id="rId11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2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5. Модели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3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4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команды «Буран» [Электронный ресурс]. URL: </w:t>
      </w:r>
      <w:hyperlink r:id="rId15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Ссылка_на_видеоотчёт.txt</w:t>
      </w:r>
      <w:r>
        <w:rPr>
          <w:rStyle w:val="Hyperlink"/>
          <w:color w:val="0563C1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8. Моделирование в </w:t>
      </w:r>
      <w:r>
        <w:rPr>
          <w:rStyle w:val="Hyperlink"/>
          <w:color w:val="auto"/>
          <w:u w:val="none"/>
          <w:lang w:val="en-US"/>
        </w:rPr>
        <w:t xml:space="preserve">Kerbal Space Program [Электронный ресурс]. URL: </w:t>
      </w:r>
      <w:hyperlink r:id="rId16">
        <w:r>
          <w:rPr>
            <w:rStyle w:val="Hyperlink"/>
            <w:color w:val="0563C1"/>
            <w:u w:val="single"/>
            <w:lang w:val="en-US"/>
          </w:rPr>
          <w:t>https://github.com/Anastasia1V/Buran/blob/main/Ссылка_на_видео_моделирование_KSP.txt</w:t>
        </w:r>
      </w:hyperlink>
      <w:r>
        <w:rPr>
          <w:rStyle w:val="Hyperlink"/>
          <w:color w:val="auto"/>
          <w:u w:val="none"/>
          <w:lang w:val="en-US"/>
        </w:rPr>
        <w:t xml:space="preserve"> (Дата обращения: 18.12.2024).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7" w:name="__RefHeading___Toc3863_2316535557"/>
      <w:bookmarkStart w:id="58" w:name="_Toc11487452"/>
      <w:bookmarkStart w:id="59" w:name="_Toc2049070722"/>
      <w:bookmarkEnd w:id="57"/>
      <w:r>
        <w:rPr>
          <w:rFonts w:ascii="Times New Roman" w:hAnsi="Times New Roman"/>
          <w:color w:val="auto"/>
        </w:rPr>
        <w:t>З</w:t>
      </w:r>
      <w:bookmarkEnd w:id="58"/>
      <w:bookmarkEnd w:id="59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rPr/>
      </w:pPr>
      <w:bookmarkStart w:id="60" w:name="__RefHeading___Toc3861_2316535557"/>
      <w:bookmarkEnd w:id="60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и сравнены 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b w:val="false"/>
          <w:bCs w:val="false"/>
          <w:color w:val="000000"/>
          <w:sz w:val="28"/>
          <w:szCs w:val="28"/>
        </w:rPr>
        <w:t xml:space="preserve">высоты полёта от времени. 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  <w:b/>
          <w:bCs/>
        </w:rPr>
      </w:pPr>
      <w:bookmarkStart w:id="61" w:name="__RefHeading___Toc3885_2316535557"/>
      <w:bookmarkStart w:id="62" w:name="_Toc1782550470"/>
      <w:bookmarkStart w:id="63" w:name="_Toc2055779693"/>
      <w:bookmarkEnd w:id="61"/>
      <w:r>
        <w:rPr>
          <w:rFonts w:ascii="Times New Roman" w:hAnsi="Times New Roman"/>
          <w:b/>
          <w:bCs/>
        </w:rPr>
        <w:t>С</w:t>
      </w:r>
      <w:bookmarkEnd w:id="62"/>
      <w:bookmarkEnd w:id="63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10.11.2024). </w:t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17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18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14.11.2024). 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 w:before="0" w:after="140"/>
        <w:rPr/>
      </w:pPr>
      <w:r>
        <w:rPr/>
        <w:t xml:space="preserve">6. Раздел модов для </w:t>
      </w:r>
      <w:r>
        <w:rPr>
          <w:lang w:val="en-US"/>
        </w:rPr>
        <w:t xml:space="preserve">Kerbal Space Program [Электронный ресурс]. URL: </w:t>
      </w:r>
      <w:hyperlink r:id="rId19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 xml:space="preserve">.11.2024). </w:t>
      </w:r>
    </w:p>
    <w:sectPr>
      <w:footerReference w:type="even" r:id="rId20"/>
      <w:footerReference w:type="default" r:id="rId21"/>
      <w:footerReference w:type="first" r:id="rId22"/>
      <w:footnotePr>
        <w:numFmt w:val="decimal"/>
      </w:footnotePr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iCs/>
          <w:color w:val="FF0000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источника: Циолковский К. Э.</w:t>
      </w:r>
      <w:r>
        <w:rPr>
          <w:rStyle w:val="citation"/>
          <w:color w:val="auto"/>
          <w:sz w:val="20"/>
          <w:szCs w:val="20"/>
        </w:rPr>
        <w:t xml:space="preserve"> Труды по ракетной технике / Под редакцией М. К. Тихонравова. — М.: Оборонгиз, 1947. — С. 33.</w:t>
      </w:r>
    </w:p>
  </w:footnote>
  <w:footnote w:id="3">
    <w:p>
      <w:pPr>
        <w:pStyle w:val="FootnoteText"/>
        <w:bidi w:val="0"/>
        <w:jc w:val="left"/>
        <w:rPr/>
      </w:pPr>
      <w:r>
        <w:rPr>
          <w:rStyle w:val="Style6"/>
        </w:rPr>
        <w:footnoteRef/>
      </w:r>
      <w:r>
        <w:rPr>
          <w:rStyle w:val="citation"/>
          <w:iCs/>
          <w:color w:val="auto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>Материал взят из следующего источника [Электронный ресурс]. URL:</w:t>
      </w:r>
      <w:r>
        <w:rPr/>
        <w:t xml:space="preserve"> </w:t>
      </w:r>
      <w:r>
        <w:rPr>
          <w:color w:val="0563C1"/>
          <w:sz w:val="20"/>
          <w:szCs w:val="20"/>
          <w:u w:val="single"/>
        </w:rPr>
        <w:t>http://library.krasn.ru/fulltext/Raschet_parametrov.pdf</w:t>
      </w:r>
      <w:r>
        <w:rPr>
          <w:color w:val="0563C1"/>
          <w:sz w:val="20"/>
          <w:szCs w:val="20"/>
        </w:rPr>
        <w:t xml:space="preserve"> </w:t>
      </w:r>
      <w:r>
        <w:rPr/>
        <w:t>(Дата обращения: 28.11.2024).</w:t>
      </w:r>
    </w:p>
  </w:footnote>
  <w:footnote w:id="4">
    <w:p>
      <w:pPr>
        <w:pStyle w:val="FootnoteText"/>
        <w:bidi w:val="0"/>
        <w:jc w:val="both"/>
        <w:rPr/>
      </w:pPr>
      <w:r>
        <w:rPr>
          <w:rStyle w:val="Style6"/>
        </w:rPr>
        <w:footnoteRef/>
      </w:r>
      <w:r>
        <w:rPr>
          <w:rStyle w:val="citation"/>
          <w:iCs/>
          <w:color w:val="auto"/>
          <w:sz w:val="20"/>
          <w:szCs w:val="20"/>
        </w:rPr>
        <w:t xml:space="preserve"> </w:t>
      </w:r>
      <w:r>
        <w:rPr>
          <w:rStyle w:val="citation"/>
          <w:iCs/>
          <w:color w:val="auto"/>
          <w:sz w:val="20"/>
          <w:szCs w:val="20"/>
        </w:rPr>
        <w:t xml:space="preserve">Материал взят из следующего источника [Электронный ресурс]. URL: </w:t>
      </w:r>
      <w:r>
        <w:rPr>
          <w:rStyle w:val="citation"/>
          <w:iCs/>
          <w:color w:val="0563C1"/>
          <w:sz w:val="20"/>
          <w:szCs w:val="20"/>
          <w:u w:val="single"/>
        </w:rPr>
        <w:t xml:space="preserve">https://cyberleninka.ru/article/n/programma-rascheta-maksimalnoy-vysoty-poleta-modeli-rakety/viewer    </w:t>
      </w:r>
      <w:r>
        <w:rPr>
          <w:rStyle w:val="citation"/>
          <w:iCs/>
          <w:color w:val="auto"/>
          <w:sz w:val="20"/>
          <w:szCs w:val="20"/>
        </w:rPr>
        <w:t xml:space="preserve">                  (Дата обращения: 28.11.2024). </w:t>
      </w:r>
    </w:p>
  </w:footnote>
</w:footnotes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Style8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github.com/Anastasia1V/Buran" TargetMode="External"/><Relationship Id="rId10" Type="http://schemas.openxmlformats.org/officeDocument/2006/relationships/hyperlink" Target="https://github.com/Anastasia1V/Buran/blob/main/&#1054;&#1090;&#1095;&#1105;&#1090;_&#1042;&#1040;&#1056;&#1050;&#1058;" TargetMode="External"/><Relationship Id="rId1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3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4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5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6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7" Type="http://schemas.openxmlformats.org/officeDocument/2006/relationships/hyperlink" Target="https://buran.ru/" TargetMode="External"/><Relationship Id="rId18" Type="http://schemas.openxmlformats.org/officeDocument/2006/relationships/hyperlink" Target="https://www.energia.ru/" TargetMode="External"/><Relationship Id="rId19" Type="http://schemas.openxmlformats.org/officeDocument/2006/relationships/hyperlink" Target="https://spacedock.ru/kerbal-space-program/mods-ksp/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footnotes" Target="footnotes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LibreOffice/24.8.3.2$Windows_X86_64 LibreOffice_project/48a6bac9e7e268aeb4c3483fcf825c94556d9f92</Application>
  <AppVersion>15.0000</AppVersion>
  <Pages>22</Pages>
  <Words>1967</Words>
  <Characters>14794</Characters>
  <CharactersWithSpaces>17428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cp:lastPrinted>2024-12-18T12:30:18Z</cp:lastPrinted>
  <dcterms:modified xsi:type="dcterms:W3CDTF">2024-12-18T13:27:41Z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