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Теоретическая часть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данном файле представлена теоретическая часть проекта «Буран» команды «Буран».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 теоретической части</w:t>
          </w:r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1_531997371">
            <w:r>
              <w:rPr>
                <w:rStyle w:val="Style12"/>
              </w:rPr>
              <w:t>1. Введение</w:t>
              <w:tab/>
              <w:t>2</w:t>
            </w:r>
          </w:hyperlink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hyperlink w:anchor="__RefHeading___Toc142_531997371">
            <w:r>
              <w:rPr>
                <w:rStyle w:val="Style12"/>
              </w:rPr>
              <w:t>2. Цель проекта </w:t>
              <w:tab/>
              <w:t>3</w:t>
            </w:r>
          </w:hyperlink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hyperlink w:anchor="__RefHeading___Toc144_531997371">
            <w:r>
              <w:rPr>
                <w:rStyle w:val="Style12"/>
              </w:rPr>
              <w:t>3. Задачи проекта </w:t>
              <w:tab/>
              <w:t>3</w:t>
            </w:r>
          </w:hyperlink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hyperlink w:anchor="__RefHeading___Toc146_531997371">
            <w:r>
              <w:rPr>
                <w:rStyle w:val="Style12"/>
              </w:rPr>
              <w:t>4. Распределение ролей </w:t>
              <w:tab/>
              <w:t>3</w:t>
            </w:r>
          </w:hyperlink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hyperlink w:anchor="__RefHeading___Toc185_531997371">
            <w:r>
              <w:rPr>
                <w:rStyle w:val="Style12"/>
              </w:rPr>
              <w:t>5. Предназначение миссии  </w:t>
              <w:tab/>
              <w:t>4</w:t>
            </w:r>
          </w:hyperlink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hyperlink w:anchor="__RefHeading___Toc187_531997371">
            <w:r>
              <w:rPr>
                <w:rStyle w:val="Style12"/>
              </w:rPr>
              <w:t>6. Детали полёта </w:t>
              <w:tab/>
              <w:t>4</w:t>
            </w:r>
          </w:hyperlink>
        </w:p>
        <w:p>
          <w:pPr>
            <w:pStyle w:val="TOC1"/>
            <w:tabs>
              <w:tab w:val="clear" w:pos="9922"/>
              <w:tab w:val="right" w:pos="9637" w:leader="dot"/>
            </w:tabs>
            <w:bidi w:val="0"/>
            <w:jc w:val="left"/>
            <w:rPr/>
          </w:pPr>
          <w:hyperlink w:anchor="__RefHeading___Toc1568_531997371">
            <w:r>
              <w:rPr>
                <w:rStyle w:val="Style12"/>
              </w:rPr>
              <w:t>7. Физико-математическая модель </w:t>
              <w:tab/>
              <w:t>5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1"/>
        <w:bidi w:val="0"/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0" w:name="__RefHeading___Toc1_531997371"/>
      <w:bookmarkEnd w:id="0"/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  <w:lang w:val="ru-RU"/>
        </w:rPr>
        <w:t>Введение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   </w:t>
      </w:r>
      <w:r>
        <w:rPr>
          <w:rFonts w:ascii="Times New Roman" w:hAnsi="Times New Roman"/>
          <w:sz w:val="28"/>
          <w:szCs w:val="28"/>
          <w:lang w:val="ru-RU"/>
        </w:rPr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BodyText"/>
        <w:bidi w:val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bidi w:val="0"/>
        <w:ind w:hanging="0" w:left="0"/>
        <w:rPr/>
      </w:pPr>
      <w:bookmarkStart w:id="1" w:name="__RefHeading___Toc142_531997371"/>
      <w:bookmarkEnd w:id="1"/>
      <w:r>
        <w:rPr>
          <w:lang w:val="en-US"/>
        </w:rPr>
        <w:t xml:space="preserve">2. </w:t>
      </w:r>
      <w:r>
        <w:rPr>
          <w:lang w:val="ru-RU"/>
        </w:rPr>
        <w:t>Цель проекта</w:t>
      </w:r>
      <w:r>
        <w:rPr/>
        <w:t> </w:t>
      </w:r>
    </w:p>
    <w:p>
      <w:pPr>
        <w:pStyle w:val="BodyText"/>
        <w:bidi w:val="0"/>
        <w:jc w:val="both"/>
        <w:rPr/>
      </w:pPr>
      <w:r>
        <w:rPr/>
        <w:t>   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Heading1"/>
        <w:bidi w:val="0"/>
        <w:ind w:hanging="0" w:left="0"/>
        <w:rPr/>
      </w:pPr>
      <w:bookmarkStart w:id="2" w:name="__RefHeading___Toc144_531997371"/>
      <w:bookmarkEnd w:id="2"/>
      <w:r>
        <w:rPr>
          <w:lang w:val="en-US"/>
        </w:rPr>
        <w:t xml:space="preserve">3. </w:t>
      </w:r>
      <w:r>
        <w:rPr>
          <w:lang w:val="ru-RU"/>
        </w:rPr>
        <w:t>Задачи проекта</w:t>
      </w:r>
      <w:r>
        <w:rPr/>
        <w:t>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Создание физико-математической модели полёта.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Моделирование полёта в Kerbal Space Program (KSP).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rPr/>
      </w:pPr>
      <w:r>
        <w:rPr>
          <w:rFonts w:ascii="Times New Roman" w:hAnsi="Times New Roman"/>
          <w:sz w:val="28"/>
          <w:szCs w:val="28"/>
          <w:lang w:val="ru-RU"/>
        </w:rPr>
        <w:t>Сделать выводы о проделанной работе.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Heading1"/>
        <w:bidi w:val="0"/>
        <w:ind w:hanging="0" w:left="0"/>
        <w:rPr/>
      </w:pPr>
      <w:bookmarkStart w:id="3" w:name="__RefHeading___Toc146_531997371"/>
      <w:bookmarkEnd w:id="3"/>
      <w:r>
        <w:rPr>
          <w:lang w:val="en-US"/>
        </w:rPr>
        <w:t xml:space="preserve">4. </w:t>
      </w:r>
      <w:r>
        <w:rPr>
          <w:lang w:val="ru-RU"/>
        </w:rPr>
        <w:t>Распределение ролей</w:t>
      </w:r>
      <w:r>
        <w:rPr/>
        <w:t> </w:t>
      </w:r>
    </w:p>
    <w:p>
      <w:pPr>
        <w:pStyle w:val="BodyText"/>
        <w:bidi w:val="0"/>
        <w:jc w:val="center"/>
        <w:rPr/>
      </w:pPr>
      <w:r>
        <w:rPr>
          <w:lang w:val="ru-RU"/>
        </w:rPr>
        <w:t>Команда «Буран»</w:t>
      </w:r>
      <w:r>
        <w:rPr/>
        <w:t> </w:t>
      </w:r>
    </w:p>
    <w:p>
      <w:pPr>
        <w:pStyle w:val="BodyText"/>
        <w:bidi w:val="0"/>
        <w:jc w:val="both"/>
        <w:rPr/>
      </w:pPr>
      <w:r>
        <w:rPr/>
        <w:t xml:space="preserve">    </w:t>
      </w:r>
      <w:r>
        <w:rPr>
          <w:lang w:val="ru-RU"/>
        </w:rPr>
        <w:t>Воровицкая А.Р. - тимлид, редактор.</w:t>
      </w:r>
      <w:r>
        <w:rPr/>
        <w:t xml:space="preserve"> </w:t>
      </w:r>
      <w:r>
        <w:rPr>
          <w:lang w:val="ru-RU"/>
        </w:rPr>
        <w:t>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  <w:r>
        <w:rPr/>
        <w:t> 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 xml:space="preserve">    </w:t>
      </w:r>
      <w:r>
        <w:rPr>
          <w:lang w:val="ru-RU"/>
        </w:rPr>
        <w:t>Кретов А.В. - математик, физик.</w:t>
      </w:r>
      <w:r>
        <w:rPr/>
        <w:t xml:space="preserve"> </w:t>
      </w:r>
      <w:r>
        <w:rPr>
          <w:lang w:val="ru-RU"/>
        </w:rPr>
        <w:t>Отвечает за разработку физико-математической модели, сравнение результатов вычислений физико-математической модели с данными, полученными при моделировании полёта в Kerbal Space Program.</w:t>
      </w:r>
      <w:r>
        <w:rPr/>
        <w:t> 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 xml:space="preserve">    </w:t>
      </w:r>
      <w:r>
        <w:rPr>
          <w:lang w:val="ru-RU"/>
        </w:rPr>
        <w:t>Бобровников Я.М. - теоретик, презентатор.</w:t>
      </w:r>
      <w:r>
        <w:rPr/>
        <w:t xml:space="preserve"> </w:t>
      </w:r>
      <w:r>
        <w:rPr>
          <w:lang w:val="ru-RU"/>
        </w:rPr>
        <w:t>Отвечает за поиск теоретической информации, работу с полученными данными при моделировании полёта в Kerbal Space Program, составление презентации.</w:t>
      </w:r>
      <w:r>
        <w:rPr/>
        <w:t> 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 xml:space="preserve">    </w:t>
      </w:r>
      <w:r>
        <w:rPr>
          <w:lang w:val="ru-RU"/>
        </w:rPr>
        <w:t>Хомяков А.С. - инженер KSP, программист.</w:t>
      </w:r>
      <w:r>
        <w:rPr/>
        <w:t xml:space="preserve"> </w:t>
      </w:r>
      <w:r>
        <w:rPr>
          <w:lang w:val="ru-RU"/>
        </w:rPr>
        <w:t>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  <w:r>
        <w:rPr/>
        <w:t> </w:t>
      </w:r>
      <w:r>
        <w:br w:type="page"/>
      </w:r>
    </w:p>
    <w:p>
      <w:pPr>
        <w:pStyle w:val="Heading1"/>
        <w:bidi w:val="0"/>
        <w:ind w:hanging="0" w:left="0"/>
        <w:rPr/>
      </w:pPr>
      <w:bookmarkStart w:id="4" w:name="__RefHeading___Toc185_531997371"/>
      <w:bookmarkEnd w:id="4"/>
      <w:r>
        <w:rPr>
          <w:lang w:val="en-US"/>
        </w:rPr>
        <w:t>5.</w:t>
      </w:r>
      <w:r>
        <w:rPr>
          <w:lang w:val="ru-RU"/>
        </w:rPr>
        <w:t xml:space="preserve"> Предназначение миссии </w:t>
      </w:r>
      <w:r>
        <w:rPr/>
        <w:t> </w:t>
      </w:r>
    </w:p>
    <w:p>
      <w:pPr>
        <w:pStyle w:val="BodyText"/>
        <w:bidi w:val="0"/>
        <w:jc w:val="center"/>
        <w:rPr/>
      </w:pPr>
      <w:r>
        <w:rPr>
          <w:lang w:val="ru-RU"/>
        </w:rPr>
        <w:t>Предназначение корабля-ракетоплана «Буран»</w:t>
      </w:r>
      <w:r>
        <w:rPr/>
        <w:t> 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rPr/>
      </w:pPr>
      <w:r>
        <w:rPr>
          <w:lang w:val="ru-RU"/>
        </w:rPr>
        <w:t>Выведение на орбиты, обслуживание на них и возвращение на Землю космических аппаратов, космонавтов и грузов.</w:t>
      </w:r>
      <w:r>
        <w:rPr/>
        <w:t> 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rPr/>
      </w:pPr>
      <w:r>
        <w:rPr>
          <w:lang w:val="ru-RU"/>
        </w:rPr>
        <w:t>Проведение военно-прикладных исследований и экспериментов по обеспечению создания больших космических систем.</w:t>
      </w:r>
      <w:r>
        <w:rPr/>
        <w:t> 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rPr/>
      </w:pPr>
      <w:r>
        <w:rPr>
          <w:lang w:val="ru-RU"/>
        </w:rPr>
        <w:t>Решение различных задач в интересах народного хозяйства и науки.</w:t>
      </w:r>
      <w:r>
        <w:rPr/>
        <w:t> 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rPr/>
      </w:pPr>
      <w:r>
        <w:rPr>
          <w:lang w:val="ru-RU"/>
        </w:rPr>
        <w:t>Комплексное противодействие мероприятиям возможного противника по использованию космического пространства в военных целях.</w:t>
      </w:r>
      <w:r>
        <w:rPr/>
        <w:t> </w:t>
      </w:r>
    </w:p>
    <w:p>
      <w:pPr>
        <w:pStyle w:val="BodyText"/>
        <w:bidi w:val="0"/>
        <w:rPr/>
      </w:pPr>
      <w:r>
        <w:rPr/>
      </w:r>
    </w:p>
    <w:p>
      <w:pPr>
        <w:pStyle w:val="Heading1"/>
        <w:bidi w:val="0"/>
        <w:ind w:hanging="0" w:left="0"/>
        <w:rPr/>
      </w:pPr>
      <w:bookmarkStart w:id="5" w:name="__RefHeading___Toc187_531997371"/>
      <w:bookmarkEnd w:id="5"/>
      <w:r>
        <w:rPr>
          <w:lang w:val="en-US"/>
        </w:rPr>
        <w:t>6</w:t>
      </w:r>
      <w:r>
        <w:rPr>
          <w:lang w:val="ru-RU"/>
        </w:rPr>
        <w:t>. Детали полёта</w:t>
      </w:r>
      <w:r>
        <w:rPr/>
        <w:t> </w:t>
      </w:r>
    </w:p>
    <w:p>
      <w:pPr>
        <w:pStyle w:val="BodyText"/>
        <w:bidi w:val="0"/>
        <w:ind w:hanging="0" w:left="0" w:right="0"/>
        <w:jc w:val="both"/>
        <w:rPr/>
      </w:pPr>
      <w:r>
        <w:rPr/>
        <w:t xml:space="preserve">    </w:t>
      </w:r>
      <w:r>
        <w:rPr>
          <w:lang w:val="ru-RU"/>
        </w:rPr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</w:t>
      </w:r>
      <w:r>
        <w:rPr/>
        <w:t> </w:t>
      </w:r>
    </w:p>
    <w:p>
      <w:pPr>
        <w:pStyle w:val="BodyText"/>
        <w:bidi w:val="0"/>
        <w:ind w:hanging="0" w:left="0" w:right="0"/>
        <w:jc w:val="both"/>
        <w:rPr/>
      </w:pPr>
      <w:r>
        <w:rPr/>
      </w:r>
    </w:p>
    <w:p>
      <w:pPr>
        <w:pStyle w:val="Heading1"/>
        <w:bidi w:val="0"/>
        <w:ind w:hanging="0" w:left="0"/>
        <w:rPr/>
      </w:pPr>
      <w:bookmarkStart w:id="6" w:name="__RefHeading___Toc1568_531997371"/>
      <w:bookmarkEnd w:id="6"/>
      <w:r>
        <w:rPr>
          <w:lang w:val="en-US"/>
        </w:rPr>
        <w:t xml:space="preserve">7. </w:t>
      </w:r>
      <w:r>
        <w:rPr>
          <w:lang w:val="ru-RU"/>
        </w:rPr>
        <w:t>Физико-математическая модель</w:t>
      </w:r>
      <w:r>
        <w:rPr/>
        <w:t> </w:t>
      </w:r>
    </w:p>
    <w:p>
      <w:pPr>
        <w:pStyle w:val="normal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рамках физико-математической модели для определения скорости, развиваемой кораблём-ракетопланом в результате действия реактивного двигателя (двигателей) будем применять формулу Циолковского</w:t>
      </w:r>
      <w:r>
        <w:rPr>
          <w:rStyle w:val="FootnoteReference"/>
          <w:rFonts w:eastAsia="Times New Roman" w:cs="Times New Roman" w:ascii="Times New Roman" w:hAnsi="Times New Roman"/>
          <w:sz w:val="28"/>
          <w:szCs w:val="28"/>
        </w:rPr>
        <w:footnoteReference w:id="2"/>
      </w:r>
      <w:r>
        <w:rPr>
          <w:rFonts w:eastAsia="Times New Roman" w:cs="Times New Roman" w:ascii="Times New Roman" w:hAnsi="Times New Roman"/>
          <w:sz w:val="28"/>
          <w:szCs w:val="28"/>
        </w:rPr>
        <w:t>. Как известно, для одноступенчатого корабля она имеет вид:</w:t>
      </w:r>
    </w:p>
    <w:p>
      <w:pPr>
        <w:pStyle w:val="normal1"/>
        <w:shd w:val="clear" w:color="auto" w:fill="FFFFFF"/>
        <w:spacing w:before="100" w:after="10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конечная скорость летательного аппарата (характеристическая скорость), также обозначаемая как ΔV. 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удельный импульс ракетного двигателя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(отношение тяги двигателя к массовому расходу топлива за секунду)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начальная масса летательного аппарата. Эта величина представляет собой сумму масс конструкции аппарата, полезной нагрузки и топлива.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конечная масса летательного аппарата. Эта величина представляет собой сумму масс конструкции аппарата и полезной нагрузки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</w:p>
    <w:p>
      <w:pPr>
        <w:pStyle w:val="normal1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1"/>
        <w:ind w:firstLine="1134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число ступеней 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номер ступени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 xml:space="preserve"> 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</w:p>
    <w:p>
      <w:pPr>
        <w:pStyle w:val="normal1"/>
        <w:spacing w:before="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1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</w:t>
      </w:r>
      <w:r>
        <w:rPr>
          <w:rStyle w:val="FootnoteReference"/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footnoteReference w:id="3"/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:</w:t>
      </w:r>
    </w:p>
    <w:p>
      <w:pPr>
        <w:pStyle w:val="normal1"/>
        <w:spacing w:before="40" w:after="1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 w:ascii="Times New Roman" w:hAnsi="Times New Roman"/>
          <w:b/>
          <w:i/>
          <w:color w:val="202122"/>
          <w:sz w:val="28"/>
          <w:szCs w:val="28"/>
          <w:highlight w:val="white"/>
        </w:rPr>
        <w:tab/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Где: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ab/>
        <w:t>P — тяга двигателя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 w:ascii="Times New Roman" w:hAnsi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1"/>
        <w:spacing w:before="40" w:after="140"/>
        <w:ind w:hanging="0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</w:p>
    <w:p>
      <w:pPr>
        <w:pStyle w:val="normal1"/>
        <w:spacing w:before="40" w:after="140"/>
        <w:ind w:hanging="0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</w:p>
    <w:p>
      <w:pPr>
        <w:pStyle w:val="normal1"/>
        <w:spacing w:before="40" w:after="140"/>
        <w:ind w:hanging="0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:</w:t>
      </w:r>
    </w:p>
    <w:p>
      <w:pPr>
        <w:pStyle w:val="normal1"/>
        <w:spacing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rad>
            </m:den>
          </m:f>
        </m:oMath>
      </m:oMathPara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Где: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202122"/>
          <w:sz w:val="27"/>
          <w:szCs w:val="27"/>
          <w:highlight w:val="white"/>
        </w:rPr>
        <w:t>:</w:t>
      </w:r>
    </w:p>
    <w:p>
      <w:pPr>
        <w:pStyle w:val="normal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k</m:t>
              </m:r>
            </m:e>
          </m:ra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(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den>
              </m:f>
            </m:sup>
          </m:sSup>
        </m:oMath>
      </m:oMathPara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площадь критического сечения сопла, рассчитываемая по формуле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: </w:t>
      </w:r>
    </w:p>
    <w:p>
      <w:pPr>
        <w:pStyle w:val="normal1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)</w:t>
      </w:r>
    </w:p>
    <w:p>
      <w:pPr>
        <w:pStyle w:val="normal1"/>
        <w:spacing w:before="40" w:after="140"/>
        <w:ind w:hanging="0"/>
        <w:jc w:val="left"/>
        <w:rPr/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— давление в камере сгорания и на срезе сопла</w:t>
      </w:r>
    </w:p>
    <w:p>
      <w:pPr>
        <w:pStyle w:val="normal1"/>
        <w:spacing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— коэффициент адиабаты </w:t>
      </w:r>
    </w:p>
    <w:p>
      <w:pPr>
        <w:pStyle w:val="normal1"/>
        <w:spacing w:before="40" w:after="140"/>
        <w:ind w:hanging="0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= 1.4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температура продуктов сгорания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— диаметр критического сечения сопла </w:t>
      </w:r>
    </w:p>
    <w:p>
      <w:pPr>
        <w:pStyle w:val="normal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газовая постоянная </w:t>
      </w:r>
    </w:p>
    <w:p>
      <w:pPr>
        <w:pStyle w:val="normal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1"/>
        <w:jc w:val="both"/>
        <w:rPr/>
      </w:pPr>
      <w:r>
        <w:rPr/>
        <w:tab/>
      </w:r>
      <w:r>
        <w:rPr>
          <w:sz w:val="28"/>
          <w:szCs w:val="28"/>
        </w:rPr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1"/>
        <w:jc w:val="center"/>
        <w:rPr/>
      </w:pPr>
      <w:bookmarkStart w:id="7" w:name="__RefHeading___Toc1570_531997371"/>
      <w:bookmarkEnd w:id="7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  <w:t>Где:</w:t>
      </w:r>
    </w:p>
    <w:p>
      <w:pPr>
        <w:pStyle w:val="normal1"/>
        <w:jc w:val="left"/>
        <w:rPr/>
      </w:pPr>
      <w:r>
        <w:rPr>
          <w:b w:val="false"/>
          <w:color w:val="000000"/>
          <w:lang w:val="en-US"/>
        </w:rPr>
        <w:tab/>
        <w:t>G</w:t>
      </w:r>
      <w:r>
        <w:rPr>
          <w:b w:val="false"/>
          <w:color w:val="000000"/>
        </w:rPr>
        <w:t xml:space="preserve"> — гравитационная постоянная</w:t>
      </w:r>
    </w:p>
    <w:p>
      <w:pPr>
        <w:pStyle w:val="normal1"/>
        <w:rPr/>
      </w:pPr>
      <w:bookmarkStart w:id="8" w:name="__RefHeading___Toc1572_531997371"/>
      <w:bookmarkEnd w:id="8"/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</w:p>
    <w:p>
      <w:pPr>
        <w:pStyle w:val="normal1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M</w:t>
      </w:r>
      <w:r>
        <w:rPr>
          <w:color w:val="000000"/>
          <w:sz w:val="28"/>
          <w:szCs w:val="28"/>
        </w:rPr>
        <w:t xml:space="preserve"> — масса астрономического объект</w:t>
      </w:r>
      <w:r>
        <w:rPr>
          <w:color w:val="000000"/>
          <w:sz w:val="28"/>
          <w:szCs w:val="28"/>
        </w:rPr>
        <w:t>а</w:t>
      </w:r>
    </w:p>
    <w:p>
      <w:pPr>
        <w:pStyle w:val="normal1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1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Web"/>
        <w:bidi w:val="0"/>
        <w:spacing w:beforeAutospacing="0" w:before="0" w:afterAutospacing="0" w:after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Запишем уравнение сил в проекции на продольную ось ракеты</w:t>
      </w:r>
      <w:r>
        <w:rPr>
          <w:rStyle w:val="FootnoteReference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</m:oMath>
      <w:r>
        <w:rPr/>
        <w:t xml:space="preserve">        </w:t>
      </w:r>
      <w:r>
        <w:rPr>
          <w:rFonts w:cs="Times New Roman" w:ascii="Times New Roman" w:hAnsi="Times New Roman"/>
          <w:sz w:val="28"/>
          <w:szCs w:val="28"/>
        </w:rPr>
        <w:t>(1)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P — текущая тяга двигателя. 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Для нахождения величины текущей тяги двигателя необходимо учесть влияние барометрического давления на срез сопла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Таким образом: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(2)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давление на текущей высоте, значение выбирается программой автоматически, в зависимости от высоты, в соответствии со значениями международной стандартной атмосферы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площадь среза сопла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X — сила лобового сопротивления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(3)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Где: 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— коэффициент лобового сопротивления.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выбирается приближенно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ab/>
      </w:r>
      <w:r>
        <w:rPr>
          <w:color w:val="202124"/>
          <w:sz w:val="28"/>
          <w:szCs w:val="28"/>
          <w:shd w:fill="FFFFFF" w:val="clear"/>
        </w:rPr>
        <w:t>ρ</w:t>
      </w:r>
      <w:r>
        <w:rPr>
          <w:color w:val="000000"/>
          <w:sz w:val="28"/>
          <w:szCs w:val="28"/>
        </w:rPr>
        <w:t xml:space="preserve"> — плотность воздуха на текущей высоте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 — текущая скорость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000000"/>
          <w:sz w:val="28"/>
          <w:szCs w:val="28"/>
        </w:rPr>
        <w:t xml:space="preserve"> — площадь миделевого сечения (наибольшего сечения летательного аппарата)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ешить уравнение (1) аналитически, ввиду переменного характера действия всех учитываемых сил, а также изменяющейся во времени массы летательного аппарата, невозможно. В связи с этим в используемой программе был реализован итерационный метод расчета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Для каждого момента времени можно записать: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sz w:val="28"/>
          <w:szCs w:val="28"/>
        </w:rPr>
        <w:t>(4)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dv</m:t>
        </m:r>
      </m:oMath>
      <w:r>
        <w:rPr/>
        <w:t xml:space="preserve">        </w:t>
      </w:r>
      <w:r>
        <w:rPr>
          <w:rFonts w:cs="Times New Roman" w:ascii="Times New Roman" w:hAnsi="Times New Roman"/>
          <w:sz w:val="28"/>
          <w:szCs w:val="28"/>
        </w:rPr>
        <w:t>(5)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rFonts w:cs="Times New Roman" w:ascii="Times New Roman" w:hAnsi="Times New Roman"/>
          <w:sz w:val="28"/>
          <w:szCs w:val="28"/>
        </w:rPr>
        <w:t>(6)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 xml:space="preserve">Программа начинает расчёты с моменты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при котором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 = 0  и формирует массивы данных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согласно (4) – (6), до некоторого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 — время работы двигателей. После формирования массивов данных программа ведёт расчёт величин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 xml:space="preserve"> в соответствии с зависимостями:</w:t>
      </w:r>
    </w:p>
    <w:p>
      <w:pPr>
        <w:pStyle w:val="normal1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mg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подсч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та результатов математического моделирования</w:t>
      </w:r>
      <w:r>
        <w:rPr>
          <w:color w:val="000000"/>
          <w:sz w:val="28"/>
          <w:szCs w:val="28"/>
        </w:rPr>
        <w:t xml:space="preserve"> будет использована</w:t>
      </w:r>
      <w:r>
        <w:rPr>
          <w:color w:val="000000"/>
          <w:sz w:val="28"/>
          <w:szCs w:val="28"/>
        </w:rPr>
        <w:t xml:space="preserve"> специально разработанная программа </w:t>
      </w:r>
      <w:r>
        <w:rPr>
          <w:sz w:val="28"/>
          <w:szCs w:val="28"/>
        </w:rPr>
        <w:t>на языке Python,</w:t>
      </w:r>
      <w:r>
        <w:rPr>
          <w:color w:val="000000"/>
          <w:sz w:val="28"/>
          <w:szCs w:val="28"/>
        </w:rPr>
        <w:t xml:space="preserve"> результатом работы которой </w:t>
      </w:r>
      <w:r>
        <w:rPr>
          <w:color w:val="000000"/>
          <w:sz w:val="28"/>
          <w:szCs w:val="28"/>
        </w:rPr>
        <w:t xml:space="preserve">будет </w:t>
      </w:r>
      <w:r>
        <w:rPr>
          <w:color w:val="000000"/>
          <w:sz w:val="28"/>
          <w:szCs w:val="28"/>
        </w:rPr>
        <w:t>построение графиков зависимости высоты пол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та от времени.</w:t>
      </w:r>
    </w:p>
    <w:sectPr>
      <w:footerReference w:type="default" r:id="rId2"/>
      <w:footnotePr>
        <w:numFmt w:val="decimal"/>
      </w:footnotePr>
      <w:type w:val="nextPage"/>
      <w:pgSz w:w="11906" w:h="16838"/>
      <w:pgMar w:left="1134" w:right="850" w:gutter="0" w:header="0" w:top="1701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9"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jc w:val="both"/>
        <w:rPr/>
      </w:pPr>
      <w:r>
        <w:rPr>
          <w:rStyle w:val="Style14"/>
        </w:rPr>
        <w:footnoteRef/>
      </w:r>
      <w:r>
        <w:rPr>
          <w:rStyle w:val="citation"/>
          <w:iCs/>
          <w:color w:val="FF0000"/>
        </w:rPr>
        <w:tab/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источника: Ц</w:t>
      </w:r>
      <w:r>
        <w:rPr>
          <w:rStyle w:val="citation"/>
          <w:iCs/>
          <w:color w:val="auto"/>
          <w:sz w:val="20"/>
          <w:szCs w:val="20"/>
        </w:rPr>
        <w:t>иолковский К. Э.</w:t>
      </w:r>
      <w:r>
        <w:rPr>
          <w:rStyle w:val="citation"/>
          <w:color w:val="auto"/>
          <w:sz w:val="20"/>
          <w:szCs w:val="20"/>
        </w:rPr>
        <w:t xml:space="preserve"> Труды по ракетной технике / Под редакцией М. К. Тихонравова. — М.: Оборонгиз, 1947. — С. 33.</w:t>
      </w:r>
    </w:p>
  </w:footnote>
  <w:footnote w:id="3">
    <w:p>
      <w:pPr>
        <w:pStyle w:val="FootnoteText"/>
        <w:bidi w:val="0"/>
        <w:jc w:val="left"/>
        <w:rPr/>
      </w:pPr>
      <w:r>
        <w:rPr>
          <w:rStyle w:val="Style14"/>
        </w:rPr>
        <w:footnoteRef/>
      </w:r>
      <w:r>
        <w:rPr>
          <w:rStyle w:val="citation"/>
          <w:iCs/>
          <w:color w:val="auto"/>
          <w:sz w:val="20"/>
          <w:szCs w:val="20"/>
        </w:rPr>
        <w:tab/>
        <w:t>Материал взят из следующего источника:</w:t>
      </w:r>
      <w:r>
        <w:rPr/>
        <w:t xml:space="preserve"> </w:t>
      </w:r>
      <w:r>
        <w:rPr/>
        <w:t>http://library.krasn.ru/fulltext/Raschet_parametrov.pdf</w:t>
      </w:r>
    </w:p>
  </w:footnote>
  <w:footnote w:id="4">
    <w:p>
      <w:pPr>
        <w:pStyle w:val="FootnoteText"/>
        <w:bidi w:val="0"/>
        <w:jc w:val="both"/>
        <w:rPr/>
      </w:pPr>
      <w:r>
        <w:rPr>
          <w:rStyle w:val="Style14"/>
        </w:rPr>
        <w:footnoteRef/>
      </w:r>
      <w:r>
        <w:rPr>
          <w:rStyle w:val="citation"/>
          <w:iCs/>
          <w:color w:val="auto"/>
          <w:sz w:val="20"/>
          <w:szCs w:val="20"/>
        </w:rPr>
        <w:tab/>
        <w:t>Материал взят из следующего источника: https://cyberleninka.ru/article/n/programma-rascheta-maksimalnoy-vysoty-poleta-modeli-rakety/viewer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Normal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citation">
    <w:name w:val="citation"/>
    <w:basedOn w:val="DefaultParagraph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Style14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rPr>
      <w:color w:val="800000"/>
      <w:u w:val="single"/>
    </w:rPr>
  </w:style>
  <w:style w:type="character" w:styleId="Style15">
    <w:name w:val="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ind w:hanging="0" w:left="0" w:right="0"/>
      <w:jc w:val="both"/>
    </w:pPr>
    <w:rPr>
      <w:rFonts w:ascii="Times New Roman" w:hAnsi="Times New Roman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  <w:jc w:val="center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9"/>
        <w:tab w:val="right" w:pos="9922" w:leader="dot"/>
      </w:tabs>
      <w:ind w:hanging="0" w:left="0"/>
    </w:pPr>
    <w:rPr>
      <w:rFonts w:ascii="Times New Roman" w:hAnsi="Times New Roman"/>
      <w:sz w:val="28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FootnoteText">
    <w:name w:val="footnote text"/>
    <w:basedOn w:val="Normal"/>
    <w:pPr>
      <w:suppressLineNumbers/>
      <w:ind w:hanging="340" w:left="340"/>
    </w:pPr>
    <w:rPr>
      <w:rFonts w:ascii="Times New Roman" w:hAnsi="Times New Roman"/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TOC3">
    <w:name w:val="toc 3"/>
    <w:basedOn w:val="Style17"/>
    <w:pPr>
      <w:tabs>
        <w:tab w:val="clear" w:pos="709"/>
        <w:tab w:val="right" w:pos="9922" w:leader="dot"/>
      </w:tabs>
      <w:ind w:hanging="0" w:left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LibreOffice/24.8.2.1$Windows_X86_64 LibreOffice_project/0f794b6e29741098670a3b95d60478a65d05ef13</Application>
  <AppVersion>15.0000</AppVersion>
  <Pages>9</Pages>
  <Words>1366</Words>
  <Characters>9838</Characters>
  <CharactersWithSpaces>11361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2024-11-15T21:55:00Z</dcterms:created>
  <dc:creator/>
  <dc:description/>
  <dc:language>ru-RU</dc:language>
  <cp:lastModifiedBy/>
  <dcterms:modified xsi:type="dcterms:W3CDTF">2024-11-15T23:14:18Z</dcterms:modified>
  <cp:revision>3</cp:revision>
  <dc:subject/>
  <dc:title/>
</cp:coreProperties>
</file>