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F21F" w14:textId="5EBC3DF4" w:rsidR="002A7515" w:rsidRPr="001A6EAE" w:rsidRDefault="002A7515" w:rsidP="002A7515">
      <w:pPr>
        <w:jc w:val="center"/>
        <w:rPr>
          <w:b/>
          <w:bCs/>
          <w:sz w:val="60"/>
          <w:szCs w:val="60"/>
        </w:rPr>
      </w:pPr>
    </w:p>
    <w:p w14:paraId="66021743" w14:textId="77777777" w:rsidR="002A7515" w:rsidRPr="00F10FBB" w:rsidRDefault="002A7515" w:rsidP="002A7515">
      <w:pPr>
        <w:jc w:val="center"/>
        <w:rPr>
          <w:b/>
          <w:bCs/>
          <w:sz w:val="60"/>
          <w:szCs w:val="60"/>
        </w:rPr>
      </w:pPr>
    </w:p>
    <w:p w14:paraId="63E974AA" w14:textId="77777777" w:rsidR="002A7515" w:rsidRPr="00F10FBB" w:rsidRDefault="002A7515" w:rsidP="003B3F3E">
      <w:pPr>
        <w:rPr>
          <w:b/>
          <w:bCs/>
          <w:sz w:val="60"/>
          <w:szCs w:val="60"/>
        </w:rPr>
      </w:pPr>
    </w:p>
    <w:p w14:paraId="039F3FBF" w14:textId="77777777" w:rsidR="002A7515" w:rsidRPr="00F10FBB" w:rsidRDefault="002A7515" w:rsidP="002A7515">
      <w:pPr>
        <w:jc w:val="center"/>
        <w:rPr>
          <w:b/>
          <w:bCs/>
          <w:sz w:val="60"/>
          <w:szCs w:val="60"/>
        </w:rPr>
      </w:pPr>
    </w:p>
    <w:p w14:paraId="062ED802" w14:textId="0F5D3498" w:rsidR="002A7515" w:rsidRPr="00F10FBB" w:rsidRDefault="002A7515" w:rsidP="002A7515">
      <w:pPr>
        <w:jc w:val="left"/>
        <w:rPr>
          <w:b/>
          <w:bCs/>
          <w:sz w:val="60"/>
          <w:szCs w:val="60"/>
        </w:rPr>
      </w:pPr>
      <w:r w:rsidRPr="00F10FBB">
        <w:rPr>
          <w:b/>
          <w:bCs/>
          <w:noProof/>
          <w:sz w:val="60"/>
          <w:szCs w:val="60"/>
        </w:rPr>
        <w:drawing>
          <wp:inline distT="0" distB="0" distL="0" distR="0" wp14:anchorId="5866AFAC" wp14:editId="7CF66533">
            <wp:extent cx="2117560" cy="69850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01" cy="70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9322" w14:textId="7F4D8FFB" w:rsidR="001A6EAE" w:rsidRPr="001A32C2" w:rsidRDefault="001A32C2" w:rsidP="00B2725A">
      <w:pPr>
        <w:ind w:left="360"/>
        <w:jc w:val="left"/>
        <w:rPr>
          <w:rFonts w:ascii="Times New Roman" w:hAnsi="Times New Roman" w:cs="Times New Roman"/>
          <w:b/>
          <w:bCs/>
          <w:sz w:val="56"/>
          <w:szCs w:val="52"/>
        </w:rPr>
      </w:pPr>
      <w:r>
        <w:rPr>
          <w:rFonts w:ascii="Times New Roman" w:hAnsi="Times New Roman" w:cs="Times New Roman"/>
          <w:b/>
          <w:bCs/>
          <w:sz w:val="56"/>
          <w:szCs w:val="52"/>
        </w:rPr>
        <w:t>Экосистема рынка недвижимости</w:t>
      </w:r>
      <w:r w:rsidRPr="001A32C2">
        <w:rPr>
          <w:rFonts w:ascii="Times New Roman" w:hAnsi="Times New Roman" w:cs="Times New Roman"/>
          <w:b/>
          <w:bCs/>
          <w:sz w:val="56"/>
          <w:szCs w:val="52"/>
        </w:rPr>
        <w:t xml:space="preserve"> </w:t>
      </w:r>
      <w:r>
        <w:rPr>
          <w:rFonts w:ascii="Times New Roman" w:hAnsi="Times New Roman" w:cs="Times New Roman"/>
          <w:b/>
          <w:bCs/>
          <w:sz w:val="56"/>
          <w:szCs w:val="52"/>
          <w:lang w:val="en-US"/>
        </w:rPr>
        <w:t>DOMMAR</w:t>
      </w:r>
    </w:p>
    <w:p w14:paraId="796C6075" w14:textId="4DBD6F13" w:rsidR="00B2725A" w:rsidRDefault="00B2725A" w:rsidP="00B2725A">
      <w:pPr>
        <w:ind w:left="360"/>
        <w:jc w:val="left"/>
        <w:rPr>
          <w:rFonts w:ascii="Times New Roman" w:hAnsi="Times New Roman" w:cs="Times New Roman"/>
          <w:b/>
          <w:bCs/>
          <w:sz w:val="56"/>
          <w:szCs w:val="52"/>
        </w:rPr>
      </w:pPr>
    </w:p>
    <w:p w14:paraId="775B0E6E" w14:textId="7B458CB1" w:rsidR="00B2725A" w:rsidRDefault="00B2725A" w:rsidP="00B2725A">
      <w:pPr>
        <w:ind w:left="360"/>
        <w:jc w:val="left"/>
        <w:rPr>
          <w:rFonts w:ascii="Times New Roman" w:hAnsi="Times New Roman" w:cs="Times New Roman"/>
          <w:b/>
          <w:bCs/>
          <w:sz w:val="56"/>
          <w:szCs w:val="52"/>
        </w:rPr>
      </w:pPr>
    </w:p>
    <w:p w14:paraId="36335085" w14:textId="69A4DFA5" w:rsidR="00B2725A" w:rsidRDefault="00B2725A" w:rsidP="00B2725A">
      <w:pPr>
        <w:ind w:left="360"/>
        <w:jc w:val="left"/>
        <w:rPr>
          <w:rFonts w:ascii="Times New Roman" w:hAnsi="Times New Roman" w:cs="Times New Roman"/>
          <w:b/>
          <w:bCs/>
          <w:sz w:val="56"/>
          <w:szCs w:val="52"/>
        </w:rPr>
      </w:pPr>
    </w:p>
    <w:p w14:paraId="3E61E8BF" w14:textId="39DD8564" w:rsidR="00B2725A" w:rsidRDefault="001A32C2" w:rsidP="001A32C2">
      <w:pPr>
        <w:shd w:val="clear" w:color="auto" w:fill="FFFFFF"/>
        <w:tabs>
          <w:tab w:val="left" w:pos="7225"/>
        </w:tabs>
        <w:spacing w:after="0" w:line="240" w:lineRule="auto"/>
        <w:ind w:left="6372" w:right="-426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Ржанников А.,</w:t>
      </w:r>
      <w:r w:rsidR="00B2725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Карулин С.</w:t>
      </w:r>
      <w:r>
        <w:rPr>
          <w:rFonts w:ascii="Times New Roman" w:eastAsia="Times New Roman" w:hAnsi="Times New Roman" w:cs="Times New Roman"/>
          <w:szCs w:val="24"/>
          <w:lang w:eastAsia="ru-RU"/>
        </w:rPr>
        <w:br/>
        <w:t xml:space="preserve">Ред. 1 от </w:t>
      </w:r>
      <w:r>
        <w:rPr>
          <w:rFonts w:ascii="Times New Roman" w:eastAsia="Times New Roman" w:hAnsi="Times New Roman" w:cs="Times New Roman"/>
          <w:szCs w:val="24"/>
          <w:lang w:eastAsia="ru-RU"/>
        </w:rPr>
        <w:br/>
        <w:t>15.01.2023</w:t>
      </w:r>
      <w:r w:rsidR="001A6EAE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14:paraId="0FADA126" w14:textId="77777777" w:rsidR="00B2725A" w:rsidRPr="00B2725A" w:rsidRDefault="00B2725A" w:rsidP="00B2725A">
      <w:pPr>
        <w:ind w:left="360"/>
        <w:jc w:val="left"/>
        <w:rPr>
          <w:b/>
          <w:bCs/>
          <w:sz w:val="56"/>
          <w:szCs w:val="52"/>
        </w:rPr>
      </w:pPr>
    </w:p>
    <w:p w14:paraId="30E60157" w14:textId="1D312959" w:rsidR="00B2725A" w:rsidRPr="001A6EAE" w:rsidRDefault="002A7515" w:rsidP="00B2725A">
      <w:pPr>
        <w:shd w:val="clear" w:color="auto" w:fill="FFFFFF"/>
        <w:tabs>
          <w:tab w:val="left" w:pos="7225"/>
        </w:tabs>
        <w:spacing w:after="0" w:line="240" w:lineRule="auto"/>
        <w:ind w:right="-426"/>
        <w:jc w:val="right"/>
        <w:rPr>
          <w:rFonts w:eastAsiaTheme="majorEastAsia" w:cstheme="majorBidi"/>
          <w:color w:val="FF0000"/>
          <w:sz w:val="36"/>
          <w:szCs w:val="32"/>
        </w:rPr>
      </w:pPr>
      <w:r w:rsidRPr="001A6EAE">
        <w:rPr>
          <w:rStyle w:val="Strong"/>
          <w:b w:val="0"/>
          <w:bCs w:val="0"/>
        </w:rPr>
        <w:br w:type="page"/>
      </w:r>
      <w:bookmarkStart w:id="0" w:name="_Hlk124438278"/>
    </w:p>
    <w:bookmarkEnd w:id="0"/>
    <w:p w14:paraId="0A95670E" w14:textId="0F9FE0C3" w:rsidR="005B1F48" w:rsidRDefault="001A32C2" w:rsidP="001A32C2">
      <w:pPr>
        <w:pStyle w:val="Heading1"/>
        <w:rPr>
          <w:rFonts w:eastAsia="Times New Roman"/>
          <w:lang w:eastAsia="ru-RU"/>
        </w:rPr>
      </w:pPr>
      <w:r>
        <w:rPr>
          <w:rFonts w:ascii="Cambria" w:eastAsia="Times New Roman" w:hAnsi="Cambria" w:cs="Cambria"/>
          <w:lang w:eastAsia="ru-RU"/>
        </w:rPr>
        <w:lastRenderedPageBreak/>
        <w:t>Общие</w:t>
      </w:r>
      <w:r>
        <w:rPr>
          <w:rFonts w:eastAsia="Times New Roman"/>
          <w:lang w:eastAsia="ru-RU"/>
        </w:rPr>
        <w:t xml:space="preserve"> </w:t>
      </w:r>
      <w:r>
        <w:rPr>
          <w:rFonts w:ascii="Cambria" w:eastAsia="Times New Roman" w:hAnsi="Cambria" w:cs="Cambria"/>
          <w:lang w:eastAsia="ru-RU"/>
        </w:rPr>
        <w:t>положения</w:t>
      </w:r>
    </w:p>
    <w:p w14:paraId="037E47E6" w14:textId="2B114AAB" w:rsidR="001A32C2" w:rsidRDefault="00013607" w:rsidP="001A32C2">
      <w:pPr>
        <w:shd w:val="clear" w:color="auto" w:fill="FFFFFF"/>
        <w:tabs>
          <w:tab w:val="left" w:pos="7225"/>
        </w:tabs>
        <w:spacing w:after="0" w:line="240" w:lineRule="auto"/>
        <w:ind w:right="-426"/>
        <w:rPr>
          <w:rFonts w:ascii="Cambria" w:eastAsia="Times New Roman" w:hAnsi="Cambria" w:cs="Times New Roman"/>
          <w:szCs w:val="24"/>
          <w:lang w:eastAsia="ru-RU"/>
        </w:rPr>
      </w:pPr>
      <w:r w:rsidRPr="00013607">
        <w:rPr>
          <w:rFonts w:ascii="Cambria" w:eastAsia="Times New Roman" w:hAnsi="Cambria" w:cs="Times New Roman"/>
          <w:szCs w:val="24"/>
          <w:lang w:eastAsia="ru-RU"/>
        </w:rPr>
        <w:t xml:space="preserve">Инновационные </w:t>
      </w:r>
      <w:r w:rsidR="00FE06AD">
        <w:rPr>
          <w:rFonts w:ascii="Cambria" w:eastAsia="Times New Roman" w:hAnsi="Cambria" w:cs="Times New Roman"/>
          <w:szCs w:val="24"/>
          <w:lang w:eastAsia="ru-RU"/>
        </w:rPr>
        <w:t>ИТ-</w:t>
      </w:r>
      <w:r w:rsidR="001A32C2">
        <w:rPr>
          <w:rFonts w:ascii="Cambria" w:eastAsia="Times New Roman" w:hAnsi="Cambria" w:cs="Times New Roman"/>
          <w:szCs w:val="24"/>
          <w:lang w:eastAsia="ru-RU"/>
        </w:rPr>
        <w:t xml:space="preserve">компании характеризуются </w:t>
      </w:r>
      <w:r w:rsidR="00FE06AD">
        <w:rPr>
          <w:rFonts w:ascii="Cambria" w:eastAsia="Times New Roman" w:hAnsi="Cambria" w:cs="Times New Roman"/>
          <w:szCs w:val="24"/>
          <w:lang w:eastAsia="ru-RU"/>
        </w:rPr>
        <w:t xml:space="preserve">высокой зависимостью от технологической составляющей бизнеса, в первую очередь от собственного программного обеспечения или интеграционных решений. Часто, до формирования критической абонентской базы, особенно в стадии привлечения инвестиций, технология является единственным значимым активом таких компаний. </w:t>
      </w:r>
    </w:p>
    <w:p w14:paraId="7EC9D0A7" w14:textId="1F568BDC" w:rsidR="00FE06AD" w:rsidRDefault="00FE06AD" w:rsidP="001A32C2">
      <w:pPr>
        <w:shd w:val="clear" w:color="auto" w:fill="FFFFFF"/>
        <w:tabs>
          <w:tab w:val="left" w:pos="7225"/>
        </w:tabs>
        <w:spacing w:after="0" w:line="240" w:lineRule="auto"/>
        <w:ind w:right="-426"/>
        <w:rPr>
          <w:rFonts w:ascii="Cambria" w:eastAsia="Times New Roman" w:hAnsi="Cambria" w:cs="Times New Roman"/>
          <w:szCs w:val="24"/>
          <w:lang w:eastAsia="ru-RU"/>
        </w:rPr>
      </w:pPr>
    </w:p>
    <w:p w14:paraId="6D8ADDEB" w14:textId="5E36DD3C" w:rsidR="001A32C2" w:rsidRDefault="00FE06AD" w:rsidP="001A32C2">
      <w:pPr>
        <w:shd w:val="clear" w:color="auto" w:fill="FFFFFF"/>
        <w:tabs>
          <w:tab w:val="left" w:pos="7225"/>
        </w:tabs>
        <w:spacing w:after="0" w:line="240" w:lineRule="auto"/>
        <w:ind w:right="-426"/>
        <w:rPr>
          <w:rFonts w:ascii="Cambria" w:eastAsia="Times New Roman" w:hAnsi="Cambria" w:cs="Times New Roman"/>
          <w:szCs w:val="24"/>
          <w:lang w:eastAsia="ru-RU"/>
        </w:rPr>
      </w:pPr>
      <w:r>
        <w:rPr>
          <w:rFonts w:ascii="Cambria" w:eastAsia="Times New Roman" w:hAnsi="Cambria" w:cs="Times New Roman"/>
          <w:szCs w:val="24"/>
          <w:lang w:eastAsia="ru-RU"/>
        </w:rPr>
        <w:t xml:space="preserve">В условиях становления компании, когда происходит активная проверка гипотез, технологическая составляющая подвергается </w:t>
      </w:r>
      <w:r w:rsidR="00013607" w:rsidRPr="00013607">
        <w:rPr>
          <w:rFonts w:ascii="Cambria" w:eastAsia="Times New Roman" w:hAnsi="Cambria" w:cs="Times New Roman"/>
          <w:szCs w:val="24"/>
          <w:lang w:eastAsia="ru-RU"/>
        </w:rPr>
        <w:t>серьезным испытаниям</w:t>
      </w:r>
      <w:r>
        <w:rPr>
          <w:rFonts w:ascii="Cambria" w:eastAsia="Times New Roman" w:hAnsi="Cambria" w:cs="Times New Roman"/>
          <w:szCs w:val="24"/>
          <w:lang w:eastAsia="ru-RU"/>
        </w:rPr>
        <w:t>, в первую очередь стремительно изменяющимися требованиями, большим количеством векторов развития и множеством треков разработки, ведомой параллельно.</w:t>
      </w:r>
    </w:p>
    <w:p w14:paraId="52487289" w14:textId="405EDCB1" w:rsidR="00FE06AD" w:rsidRDefault="00FE06AD" w:rsidP="001A32C2">
      <w:pPr>
        <w:shd w:val="clear" w:color="auto" w:fill="FFFFFF"/>
        <w:tabs>
          <w:tab w:val="left" w:pos="7225"/>
        </w:tabs>
        <w:spacing w:after="0" w:line="240" w:lineRule="auto"/>
        <w:ind w:right="-426"/>
        <w:rPr>
          <w:rFonts w:ascii="Cambria" w:eastAsia="Times New Roman" w:hAnsi="Cambria" w:cs="Times New Roman"/>
          <w:szCs w:val="24"/>
          <w:lang w:eastAsia="ru-RU"/>
        </w:rPr>
      </w:pPr>
    </w:p>
    <w:p w14:paraId="55AAE649" w14:textId="3B93C36D" w:rsidR="001A32C2" w:rsidRDefault="00FE06AD" w:rsidP="001A32C2">
      <w:pPr>
        <w:shd w:val="clear" w:color="auto" w:fill="FFFFFF"/>
        <w:tabs>
          <w:tab w:val="left" w:pos="7225"/>
        </w:tabs>
        <w:spacing w:after="0" w:line="240" w:lineRule="auto"/>
        <w:ind w:right="-426"/>
        <w:rPr>
          <w:rFonts w:ascii="Cambria" w:eastAsia="Times New Roman" w:hAnsi="Cambria" w:cs="Times New Roman"/>
          <w:szCs w:val="24"/>
          <w:lang w:eastAsia="ru-RU"/>
        </w:rPr>
      </w:pPr>
      <w:r>
        <w:rPr>
          <w:rFonts w:ascii="Cambria" w:eastAsia="Times New Roman" w:hAnsi="Cambria" w:cs="Times New Roman"/>
          <w:szCs w:val="24"/>
          <w:lang w:eastAsia="ru-RU"/>
        </w:rPr>
        <w:t>На этом фоне компании важно обеспечить высокий контроль на собственной технологией, в сочетании с низкой себестоимостью разработки и поддержания, что недостижимо в условиях аутсорсинга разработки.</w:t>
      </w:r>
    </w:p>
    <w:p w14:paraId="0EB39122" w14:textId="2EBD0BE8" w:rsidR="001A32C2" w:rsidRDefault="001A32C2" w:rsidP="001A32C2">
      <w:pPr>
        <w:pStyle w:val="Heading1"/>
        <w:rPr>
          <w:rFonts w:ascii="Cambria" w:eastAsia="Times New Roman" w:hAnsi="Cambria" w:cs="Cambria"/>
          <w:lang w:eastAsia="ru-RU"/>
        </w:rPr>
      </w:pPr>
      <w:r>
        <w:rPr>
          <w:rFonts w:ascii="Cambria" w:eastAsia="Times New Roman" w:hAnsi="Cambria" w:cs="Cambria"/>
          <w:lang w:eastAsia="ru-RU"/>
        </w:rPr>
        <w:t>Предложение</w:t>
      </w:r>
    </w:p>
    <w:p w14:paraId="257E9EEC" w14:textId="180B585F" w:rsidR="00FE06AD" w:rsidRDefault="00FE06AD" w:rsidP="00FE06AD">
      <w:p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 xml:space="preserve">Для достижения целей проекта предлагаем сформировать </w:t>
      </w:r>
      <w:r>
        <w:rPr>
          <w:rFonts w:ascii="Cambria" w:hAnsi="Cambria"/>
          <w:lang w:val="en-US" w:eastAsia="ru-RU"/>
        </w:rPr>
        <w:t>in</w:t>
      </w:r>
      <w:r w:rsidRPr="00FE06AD">
        <w:rPr>
          <w:rFonts w:ascii="Cambria" w:hAnsi="Cambria"/>
          <w:lang w:eastAsia="ru-RU"/>
        </w:rPr>
        <w:t>-</w:t>
      </w:r>
      <w:r>
        <w:rPr>
          <w:rFonts w:ascii="Cambria" w:hAnsi="Cambria"/>
          <w:lang w:val="en-US" w:eastAsia="ru-RU"/>
        </w:rPr>
        <w:t>house</w:t>
      </w:r>
      <w:r w:rsidRPr="00FE06AD">
        <w:rPr>
          <w:rFonts w:ascii="Cambria" w:hAnsi="Cambria"/>
          <w:lang w:eastAsia="ru-RU"/>
        </w:rPr>
        <w:t xml:space="preserve"> </w:t>
      </w:r>
      <w:r>
        <w:rPr>
          <w:rFonts w:ascii="Cambria" w:hAnsi="Cambria"/>
          <w:lang w:eastAsia="ru-RU"/>
        </w:rPr>
        <w:t xml:space="preserve">технологическую команду проекта во главе с руководителем технологий </w:t>
      </w:r>
      <w:r w:rsidRPr="00FE06AD">
        <w:rPr>
          <w:rFonts w:ascii="Cambria" w:hAnsi="Cambria"/>
          <w:lang w:eastAsia="ru-RU"/>
        </w:rPr>
        <w:t>(</w:t>
      </w:r>
      <w:r>
        <w:rPr>
          <w:rFonts w:ascii="Cambria" w:hAnsi="Cambria"/>
          <w:lang w:val="en-US" w:eastAsia="ru-RU"/>
        </w:rPr>
        <w:t>CTO</w:t>
      </w:r>
      <w:r w:rsidRPr="00FE06AD">
        <w:rPr>
          <w:rFonts w:ascii="Cambria" w:hAnsi="Cambria"/>
          <w:lang w:eastAsia="ru-RU"/>
        </w:rPr>
        <w:t>)</w:t>
      </w:r>
      <w:r>
        <w:rPr>
          <w:rFonts w:ascii="Cambria" w:hAnsi="Cambria"/>
          <w:lang w:eastAsia="ru-RU"/>
        </w:rPr>
        <w:t xml:space="preserve"> и руководителем продукта </w:t>
      </w:r>
      <w:r w:rsidRPr="00FE06AD">
        <w:rPr>
          <w:rFonts w:ascii="Cambria" w:hAnsi="Cambria"/>
          <w:lang w:eastAsia="ru-RU"/>
        </w:rPr>
        <w:t>(</w:t>
      </w:r>
      <w:r>
        <w:rPr>
          <w:rFonts w:ascii="Cambria" w:hAnsi="Cambria"/>
          <w:lang w:val="en-US" w:eastAsia="ru-RU"/>
        </w:rPr>
        <w:t>CPO</w:t>
      </w:r>
      <w:r w:rsidRPr="00FE06AD">
        <w:rPr>
          <w:rFonts w:ascii="Cambria" w:hAnsi="Cambria"/>
          <w:lang w:eastAsia="ru-RU"/>
        </w:rPr>
        <w:t>)</w:t>
      </w:r>
      <w:r>
        <w:rPr>
          <w:rFonts w:ascii="Cambria" w:hAnsi="Cambria"/>
          <w:lang w:eastAsia="ru-RU"/>
        </w:rPr>
        <w:t>, минимальным составом:</w:t>
      </w:r>
    </w:p>
    <w:p w14:paraId="0649F807" w14:textId="06C0A3DE" w:rsidR="00FE06AD" w:rsidRPr="00FE06AD" w:rsidRDefault="00FE06AD">
      <w:pPr>
        <w:pStyle w:val="ListParagraph"/>
        <w:numPr>
          <w:ilvl w:val="0"/>
          <w:numId w:val="3"/>
        </w:num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>Руководитель по технологиям (</w:t>
      </w:r>
      <w:r>
        <w:rPr>
          <w:rFonts w:ascii="Cambria" w:hAnsi="Cambria"/>
          <w:lang w:val="en-US" w:eastAsia="ru-RU"/>
        </w:rPr>
        <w:t>CTO</w:t>
      </w:r>
      <w:r>
        <w:rPr>
          <w:rFonts w:ascii="Cambria" w:hAnsi="Cambria"/>
          <w:lang w:eastAsia="ru-RU"/>
        </w:rPr>
        <w:t>), совмещает с функцией инженера-программиста.</w:t>
      </w:r>
    </w:p>
    <w:p w14:paraId="2D3DBD5F" w14:textId="58226FF1" w:rsidR="00FE06AD" w:rsidRPr="00FE06AD" w:rsidRDefault="00FE06AD">
      <w:pPr>
        <w:pStyle w:val="ListParagraph"/>
        <w:numPr>
          <w:ilvl w:val="0"/>
          <w:numId w:val="3"/>
        </w:num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>Руководитель по продукту (</w:t>
      </w:r>
      <w:r>
        <w:rPr>
          <w:rFonts w:ascii="Cambria" w:hAnsi="Cambria"/>
          <w:lang w:val="en-US" w:eastAsia="ru-RU"/>
        </w:rPr>
        <w:t>CPO</w:t>
      </w:r>
      <w:r>
        <w:rPr>
          <w:rFonts w:ascii="Cambria" w:hAnsi="Cambria"/>
          <w:lang w:eastAsia="ru-RU"/>
        </w:rPr>
        <w:t>), совмещает с функцией главного маркетолога и главного бизнес-аналитика.</w:t>
      </w:r>
    </w:p>
    <w:p w14:paraId="3B8E2D5D" w14:textId="5613F7F4" w:rsidR="00FE06AD" w:rsidRPr="00FE06AD" w:rsidRDefault="00FE06AD">
      <w:pPr>
        <w:pStyle w:val="ListParagraph"/>
        <w:numPr>
          <w:ilvl w:val="0"/>
          <w:numId w:val="3"/>
        </w:num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>Руководитель по контролю качества (</w:t>
      </w:r>
      <w:r>
        <w:rPr>
          <w:rFonts w:ascii="Cambria" w:hAnsi="Cambria"/>
          <w:lang w:val="en-US" w:eastAsia="ru-RU"/>
        </w:rPr>
        <w:t>CQA</w:t>
      </w:r>
      <w:r>
        <w:rPr>
          <w:rFonts w:ascii="Cambria" w:hAnsi="Cambria"/>
          <w:lang w:eastAsia="ru-RU"/>
        </w:rPr>
        <w:t>).</w:t>
      </w:r>
    </w:p>
    <w:p w14:paraId="451EEA9B" w14:textId="275B411C" w:rsidR="00FE06AD" w:rsidRDefault="00FE06AD">
      <w:pPr>
        <w:pStyle w:val="ListParagraph"/>
        <w:numPr>
          <w:ilvl w:val="0"/>
          <w:numId w:val="3"/>
        </w:num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>Инженер-программист.</w:t>
      </w:r>
    </w:p>
    <w:p w14:paraId="077BC735" w14:textId="42B3230A" w:rsidR="00EC425A" w:rsidRPr="00EC425A" w:rsidRDefault="00FE06AD">
      <w:pPr>
        <w:pStyle w:val="ListParagraph"/>
        <w:numPr>
          <w:ilvl w:val="0"/>
          <w:numId w:val="3"/>
        </w:num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>Инженер по эксплуатации (</w:t>
      </w:r>
      <w:proofErr w:type="spellStart"/>
      <w:r>
        <w:rPr>
          <w:rFonts w:ascii="Cambria" w:hAnsi="Cambria"/>
          <w:lang w:val="en-US" w:eastAsia="ru-RU"/>
        </w:rPr>
        <w:t>DevOPS</w:t>
      </w:r>
      <w:proofErr w:type="spellEnd"/>
      <w:r w:rsidRPr="00FE06AD">
        <w:rPr>
          <w:rFonts w:ascii="Cambria" w:hAnsi="Cambria"/>
          <w:lang w:eastAsia="ru-RU"/>
        </w:rPr>
        <w:t xml:space="preserve"> </w:t>
      </w:r>
      <w:r>
        <w:rPr>
          <w:rFonts w:ascii="Cambria" w:hAnsi="Cambria"/>
          <w:lang w:eastAsia="ru-RU"/>
        </w:rPr>
        <w:t>и системный администратор).</w:t>
      </w:r>
    </w:p>
    <w:p w14:paraId="54684FA4" w14:textId="4A94F549" w:rsidR="00FE06AD" w:rsidRDefault="00FE06AD" w:rsidP="00FE06AD">
      <w:p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>Такая команда, факт</w:t>
      </w:r>
      <w:r w:rsidR="00013607">
        <w:rPr>
          <w:rFonts w:ascii="Cambria" w:hAnsi="Cambria"/>
          <w:lang w:eastAsia="ru-RU"/>
        </w:rPr>
        <w:t>и</w:t>
      </w:r>
      <w:r>
        <w:rPr>
          <w:rFonts w:ascii="Cambria" w:hAnsi="Cambria"/>
          <w:lang w:eastAsia="ru-RU"/>
        </w:rPr>
        <w:t>чески включающая 3х разработчиков, позволит обеспечить:</w:t>
      </w:r>
    </w:p>
    <w:p w14:paraId="0C4D3034" w14:textId="77777777" w:rsidR="00EC425A" w:rsidRDefault="00EC425A">
      <w:pPr>
        <w:pStyle w:val="ListParagraph"/>
        <w:numPr>
          <w:ilvl w:val="0"/>
          <w:numId w:val="4"/>
        </w:num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>Эффективное управление требованиями:</w:t>
      </w:r>
    </w:p>
    <w:p w14:paraId="7DD1CCAD" w14:textId="7159BD2C" w:rsidR="00FE06AD" w:rsidRDefault="00FE06AD">
      <w:pPr>
        <w:pStyle w:val="ListParagraph"/>
        <w:numPr>
          <w:ilvl w:val="1"/>
          <w:numId w:val="4"/>
        </w:num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>Консистентность требований</w:t>
      </w:r>
      <w:r w:rsidR="00EC425A">
        <w:rPr>
          <w:rFonts w:ascii="Cambria" w:hAnsi="Cambria"/>
          <w:lang w:eastAsia="ru-RU"/>
        </w:rPr>
        <w:t xml:space="preserve"> и их непротиворечивость с имеющимися наработками</w:t>
      </w:r>
      <w:r>
        <w:rPr>
          <w:rFonts w:ascii="Cambria" w:hAnsi="Cambria"/>
          <w:lang w:eastAsia="ru-RU"/>
        </w:rPr>
        <w:t>.</w:t>
      </w:r>
    </w:p>
    <w:p w14:paraId="1FC81A20" w14:textId="77777777" w:rsidR="00EC425A" w:rsidRDefault="00EC425A">
      <w:pPr>
        <w:pStyle w:val="ListParagraph"/>
        <w:numPr>
          <w:ilvl w:val="1"/>
          <w:numId w:val="4"/>
        </w:num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 xml:space="preserve">Интенсивную итерационное формирование и проверку продуктовых гипотез. </w:t>
      </w:r>
    </w:p>
    <w:p w14:paraId="666B8F76" w14:textId="77777777" w:rsidR="00EC425A" w:rsidRDefault="00EC425A">
      <w:pPr>
        <w:pStyle w:val="ListParagraph"/>
        <w:numPr>
          <w:ilvl w:val="1"/>
          <w:numId w:val="4"/>
        </w:num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 xml:space="preserve">Конкурентный анализ. </w:t>
      </w:r>
    </w:p>
    <w:p w14:paraId="1ABB2C22" w14:textId="0152C15B" w:rsidR="00EC425A" w:rsidRPr="00EC425A" w:rsidRDefault="00EC425A">
      <w:pPr>
        <w:pStyle w:val="ListParagraph"/>
        <w:numPr>
          <w:ilvl w:val="1"/>
          <w:numId w:val="4"/>
        </w:num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>Ценообразование.</w:t>
      </w:r>
    </w:p>
    <w:p w14:paraId="6B61C9A5" w14:textId="350ED349" w:rsidR="0051326B" w:rsidRDefault="0051326B">
      <w:pPr>
        <w:pStyle w:val="ListParagraph"/>
        <w:numPr>
          <w:ilvl w:val="0"/>
          <w:numId w:val="4"/>
        </w:num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>Концентрацию экспертизы, исходных кодов и прав на объекты интеллектуальной собственности внутри команды.</w:t>
      </w:r>
    </w:p>
    <w:p w14:paraId="7CDEEC99" w14:textId="69749989" w:rsidR="00EC425A" w:rsidRDefault="00EC425A">
      <w:pPr>
        <w:pStyle w:val="ListParagraph"/>
        <w:numPr>
          <w:ilvl w:val="0"/>
          <w:numId w:val="4"/>
        </w:num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>Эффективное управление производством:</w:t>
      </w:r>
    </w:p>
    <w:p w14:paraId="62805451" w14:textId="5ED06C7D" w:rsidR="0051326B" w:rsidRDefault="00EC425A">
      <w:pPr>
        <w:pStyle w:val="ListParagraph"/>
        <w:numPr>
          <w:ilvl w:val="1"/>
          <w:numId w:val="4"/>
        </w:num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>Достоверное планирование производства, в т.ч. ресурсное планирование.</w:t>
      </w:r>
    </w:p>
    <w:p w14:paraId="5BE31518" w14:textId="045C2BBD" w:rsidR="00EC425A" w:rsidRDefault="00EC425A">
      <w:pPr>
        <w:pStyle w:val="ListParagraph"/>
        <w:numPr>
          <w:ilvl w:val="1"/>
          <w:numId w:val="4"/>
        </w:num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>Эффективное управление внешним ресурсом проекта.</w:t>
      </w:r>
    </w:p>
    <w:p w14:paraId="5F06A85B" w14:textId="1EB48C7F" w:rsidR="00EC425A" w:rsidRDefault="00EC425A">
      <w:pPr>
        <w:pStyle w:val="ListParagraph"/>
        <w:numPr>
          <w:ilvl w:val="1"/>
          <w:numId w:val="4"/>
        </w:num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 xml:space="preserve">Независимость от </w:t>
      </w:r>
      <w:r w:rsidR="00013607">
        <w:rPr>
          <w:rFonts w:ascii="Cambria" w:hAnsi="Cambria"/>
          <w:lang w:eastAsia="ru-RU"/>
        </w:rPr>
        <w:t>о</w:t>
      </w:r>
      <w:r>
        <w:rPr>
          <w:rFonts w:ascii="Cambria" w:hAnsi="Cambria"/>
          <w:lang w:eastAsia="ru-RU"/>
        </w:rPr>
        <w:t>перативного контроля основател</w:t>
      </w:r>
      <w:r w:rsidR="00013607">
        <w:rPr>
          <w:rFonts w:ascii="Cambria" w:hAnsi="Cambria"/>
          <w:lang w:eastAsia="ru-RU"/>
        </w:rPr>
        <w:t>ем</w:t>
      </w:r>
      <w:r>
        <w:rPr>
          <w:rFonts w:ascii="Cambria" w:hAnsi="Cambria"/>
          <w:lang w:eastAsia="ru-RU"/>
        </w:rPr>
        <w:t>.</w:t>
      </w:r>
    </w:p>
    <w:p w14:paraId="068E3A4B" w14:textId="4DCB5DE1" w:rsidR="00EC425A" w:rsidRDefault="00EC425A">
      <w:pPr>
        <w:pStyle w:val="ListParagraph"/>
        <w:numPr>
          <w:ilvl w:val="1"/>
          <w:numId w:val="4"/>
        </w:num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lastRenderedPageBreak/>
        <w:t>Самодостаточность в управлении кадровыми ресурсами.</w:t>
      </w:r>
    </w:p>
    <w:p w14:paraId="0DDD5C61" w14:textId="0FD81464" w:rsidR="00EC425A" w:rsidRDefault="00EC425A" w:rsidP="00EC425A">
      <w:p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>Затраты на содержание подобной команды</w:t>
      </w:r>
      <w:r w:rsidR="00310F3E">
        <w:rPr>
          <w:rFonts w:ascii="Cambria" w:hAnsi="Cambria"/>
          <w:lang w:eastAsia="ru-RU"/>
        </w:rPr>
        <w:t>, с учётом отсутствия у компании льгот,</w:t>
      </w:r>
      <w:r>
        <w:rPr>
          <w:rFonts w:ascii="Cambria" w:hAnsi="Cambria"/>
          <w:lang w:eastAsia="ru-RU"/>
        </w:rPr>
        <w:t xml:space="preserve"> составля</w:t>
      </w:r>
      <w:r w:rsidR="00013607">
        <w:rPr>
          <w:rFonts w:ascii="Cambria" w:hAnsi="Cambria"/>
          <w:lang w:eastAsia="ru-RU"/>
        </w:rPr>
        <w:t>ю</w:t>
      </w:r>
      <w:r>
        <w:rPr>
          <w:rFonts w:ascii="Cambria" w:hAnsi="Cambria"/>
          <w:lang w:eastAsia="ru-RU"/>
        </w:rPr>
        <w:t xml:space="preserve">т порядка </w:t>
      </w:r>
      <w:r w:rsidR="00310F3E">
        <w:rPr>
          <w:rFonts w:ascii="Cambria" w:hAnsi="Cambria"/>
          <w:lang w:eastAsia="ru-RU"/>
        </w:rPr>
        <w:t>1 1</w:t>
      </w:r>
      <w:r>
        <w:rPr>
          <w:rFonts w:ascii="Cambria" w:hAnsi="Cambria"/>
          <w:lang w:eastAsia="ru-RU"/>
        </w:rPr>
        <w:t>00 000 руб. в месяц, включая отчисления в фонды и НДФЛ.</w:t>
      </w:r>
    </w:p>
    <w:p w14:paraId="4B599707" w14:textId="43C61A7F" w:rsidR="00EC425A" w:rsidRDefault="00EC425A" w:rsidP="00EC425A">
      <w:p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 xml:space="preserve">В то же время будет </w:t>
      </w:r>
      <w:r w:rsidR="00013607">
        <w:rPr>
          <w:rFonts w:ascii="Cambria" w:hAnsi="Cambria"/>
          <w:lang w:eastAsia="ru-RU"/>
        </w:rPr>
        <w:t>поставлены базовые процессы</w:t>
      </w:r>
      <w:r>
        <w:rPr>
          <w:rFonts w:ascii="Cambria" w:hAnsi="Cambria"/>
          <w:lang w:eastAsia="ru-RU"/>
        </w:rPr>
        <w:t xml:space="preserve"> управления разработкой, управления кодовой базой, обеспечения качества программного обеспечения и непрерывной интеграции (бесшовный процесс обновления программного обеспечения без перебоев в функционировании).</w:t>
      </w:r>
    </w:p>
    <w:p w14:paraId="16DF3CB9" w14:textId="194B8E78" w:rsidR="00EC425A" w:rsidRPr="00EC425A" w:rsidRDefault="00EC425A" w:rsidP="00EC425A">
      <w:pPr>
        <w:rPr>
          <w:rFonts w:ascii="Cambria" w:hAnsi="Cambria"/>
          <w:lang w:eastAsia="ru-RU"/>
        </w:rPr>
      </w:pPr>
      <w:r>
        <w:rPr>
          <w:rFonts w:ascii="Cambria" w:hAnsi="Cambria"/>
          <w:lang w:eastAsia="ru-RU"/>
        </w:rPr>
        <w:t xml:space="preserve">Стоимость </w:t>
      </w:r>
      <w:r w:rsidR="00013607">
        <w:rPr>
          <w:rFonts w:ascii="Cambria" w:hAnsi="Cambria"/>
          <w:lang w:eastAsia="ru-RU"/>
        </w:rPr>
        <w:t xml:space="preserve">услуг </w:t>
      </w:r>
      <w:proofErr w:type="spellStart"/>
      <w:r w:rsidR="00013607">
        <w:rPr>
          <w:rFonts w:ascii="Cambria" w:hAnsi="Cambria"/>
          <w:lang w:val="en-US" w:eastAsia="ru-RU"/>
        </w:rPr>
        <w:t>SpellSystems</w:t>
      </w:r>
      <w:proofErr w:type="spellEnd"/>
      <w:r>
        <w:rPr>
          <w:rFonts w:ascii="Cambria" w:hAnsi="Cambria"/>
          <w:lang w:eastAsia="ru-RU"/>
        </w:rPr>
        <w:t xml:space="preserve"> по </w:t>
      </w:r>
      <w:r w:rsidR="00013607">
        <w:rPr>
          <w:rFonts w:ascii="Cambria" w:hAnsi="Cambria"/>
          <w:lang w:eastAsia="ru-RU"/>
        </w:rPr>
        <w:t>формированию команды и постановки базовых процессов разработки составит 1 800 000 руб.</w:t>
      </w:r>
    </w:p>
    <w:p w14:paraId="51D16CD1" w14:textId="6A487D31" w:rsidR="001A32C2" w:rsidRDefault="001A32C2" w:rsidP="00D760AE">
      <w:pPr>
        <w:shd w:val="clear" w:color="auto" w:fill="FFFFFF"/>
        <w:tabs>
          <w:tab w:val="left" w:pos="7225"/>
        </w:tabs>
        <w:spacing w:after="0" w:line="240" w:lineRule="auto"/>
        <w:ind w:right="-426" w:firstLine="567"/>
        <w:rPr>
          <w:rFonts w:eastAsia="Times New Roman" w:cs="Times New Roman"/>
          <w:szCs w:val="24"/>
          <w:lang w:eastAsia="ru-RU"/>
        </w:rPr>
      </w:pPr>
    </w:p>
    <w:p w14:paraId="79F7B6E2" w14:textId="2F30067F" w:rsidR="001A32C2" w:rsidRDefault="001A32C2" w:rsidP="00D760AE">
      <w:pPr>
        <w:shd w:val="clear" w:color="auto" w:fill="FFFFFF"/>
        <w:tabs>
          <w:tab w:val="left" w:pos="7225"/>
        </w:tabs>
        <w:spacing w:after="0" w:line="240" w:lineRule="auto"/>
        <w:ind w:right="-426" w:firstLine="567"/>
        <w:rPr>
          <w:rFonts w:eastAsia="Times New Roman" w:cs="Times New Roman"/>
          <w:szCs w:val="24"/>
          <w:lang w:eastAsia="ru-RU"/>
        </w:rPr>
      </w:pPr>
    </w:p>
    <w:p w14:paraId="6075FC7E" w14:textId="29645D1E" w:rsidR="001A32C2" w:rsidRDefault="001A32C2">
      <w:pPr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0A551E98" w14:textId="0DE4165E" w:rsidR="001A32C2" w:rsidRDefault="001A32C2" w:rsidP="001A32C2">
      <w:pPr>
        <w:shd w:val="clear" w:color="auto" w:fill="FFFFFF"/>
        <w:tabs>
          <w:tab w:val="left" w:pos="7225"/>
        </w:tabs>
        <w:spacing w:after="0" w:line="240" w:lineRule="auto"/>
        <w:ind w:right="-426"/>
        <w:jc w:val="right"/>
        <w:rPr>
          <w:rFonts w:ascii="Cambria" w:eastAsia="Times New Roman" w:hAnsi="Cambria" w:cs="Times New Roman"/>
          <w:szCs w:val="24"/>
          <w:lang w:eastAsia="ru-RU"/>
        </w:rPr>
      </w:pPr>
      <w:r>
        <w:rPr>
          <w:rFonts w:ascii="Cambria" w:eastAsia="Times New Roman" w:hAnsi="Cambria" w:cs="Times New Roman"/>
          <w:szCs w:val="24"/>
          <w:lang w:eastAsia="ru-RU"/>
        </w:rPr>
        <w:lastRenderedPageBreak/>
        <w:t>Приложени 1</w:t>
      </w:r>
      <w:r>
        <w:rPr>
          <w:rFonts w:ascii="Cambria" w:eastAsia="Times New Roman" w:hAnsi="Cambria" w:cs="Times New Roman"/>
          <w:szCs w:val="24"/>
          <w:lang w:eastAsia="ru-RU"/>
        </w:rPr>
        <w:br/>
        <w:t>Аналитическая записка</w:t>
      </w:r>
    </w:p>
    <w:p w14:paraId="023ACA8D" w14:textId="247931C1" w:rsidR="001A32C2" w:rsidRDefault="001A32C2" w:rsidP="001A32C2">
      <w:pPr>
        <w:shd w:val="clear" w:color="auto" w:fill="FFFFFF"/>
        <w:tabs>
          <w:tab w:val="left" w:pos="7225"/>
        </w:tabs>
        <w:spacing w:after="0" w:line="240" w:lineRule="auto"/>
        <w:ind w:right="-426"/>
        <w:rPr>
          <w:rFonts w:ascii="Cambria" w:eastAsia="Times New Roman" w:hAnsi="Cambria" w:cs="Times New Roman"/>
          <w:szCs w:val="24"/>
          <w:lang w:eastAsia="ru-RU"/>
        </w:rPr>
      </w:pPr>
    </w:p>
    <w:p w14:paraId="56C870A3" w14:textId="77777777" w:rsidR="001A32C2" w:rsidRDefault="001A32C2" w:rsidP="001A32C2"/>
    <w:p w14:paraId="6295F002" w14:textId="77777777" w:rsidR="001A32C2" w:rsidRPr="006A4708" w:rsidRDefault="001A32C2" w:rsidP="001A32C2">
      <w:pPr>
        <w:pStyle w:val="Title"/>
        <w:rPr>
          <w:lang w:val="ru-RU"/>
        </w:rPr>
      </w:pPr>
      <w:r>
        <w:t>CRM</w:t>
      </w:r>
      <w:r w:rsidRPr="006A4708">
        <w:rPr>
          <w:lang w:val="ru-RU"/>
        </w:rPr>
        <w:t xml:space="preserve"> для участников</w:t>
      </w:r>
      <w:r w:rsidRPr="006A4708">
        <w:rPr>
          <w:lang w:val="ru-RU"/>
        </w:rPr>
        <w:br/>
        <w:t>рынка недвижимости</w:t>
      </w:r>
    </w:p>
    <w:p w14:paraId="2D2571EA" w14:textId="77777777" w:rsidR="001A32C2" w:rsidRPr="006A4708" w:rsidRDefault="001A32C2" w:rsidP="001A32C2">
      <w:pPr>
        <w:pStyle w:val="Subtitle"/>
        <w:rPr>
          <w:lang w:val="ru-RU"/>
        </w:rPr>
      </w:pPr>
      <w:r w:rsidRPr="006A4708">
        <w:rPr>
          <w:lang w:val="ru-RU"/>
        </w:rPr>
        <w:t>Аналитическая записка</w:t>
      </w:r>
    </w:p>
    <w:p w14:paraId="108FFB26" w14:textId="77777777" w:rsidR="001A32C2" w:rsidRPr="006A4708" w:rsidRDefault="001A32C2" w:rsidP="001A32C2">
      <w:pPr>
        <w:pStyle w:val="BodyText"/>
        <w:rPr>
          <w:lang w:val="ru-RU"/>
        </w:rPr>
      </w:pPr>
    </w:p>
    <w:p w14:paraId="7EA28BCF" w14:textId="77777777" w:rsidR="001A32C2" w:rsidRPr="006A4708" w:rsidRDefault="001A32C2" w:rsidP="001A32C2">
      <w:pPr>
        <w:pStyle w:val="BodyText"/>
        <w:rPr>
          <w:sz w:val="22"/>
          <w:szCs w:val="22"/>
          <w:lang w:val="ru-RU"/>
        </w:rPr>
      </w:pPr>
      <w:r w:rsidRPr="006A4708">
        <w:rPr>
          <w:sz w:val="22"/>
          <w:szCs w:val="22"/>
          <w:lang w:val="ru-RU"/>
        </w:rPr>
        <w:t>Взаимодействие участников рынка недвижимости в рамках одной системы можно представить в виде схемы:</w:t>
      </w:r>
    </w:p>
    <w:p w14:paraId="3CDA8E71" w14:textId="77777777" w:rsidR="001A32C2" w:rsidRPr="006A4708" w:rsidRDefault="001A32C2" w:rsidP="001A32C2">
      <w:pPr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5E55C6DB" wp14:editId="1BBAA3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964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4708">
        <w:rPr>
          <w:sz w:val="22"/>
        </w:rPr>
        <w:t xml:space="preserve">Какие </w:t>
      </w:r>
      <w:r>
        <w:rPr>
          <w:sz w:val="22"/>
        </w:rPr>
        <w:t>IT</w:t>
      </w:r>
      <w:r w:rsidRPr="006A4708">
        <w:rPr>
          <w:sz w:val="22"/>
        </w:rPr>
        <w:t>-решения используют участники рынка:</w:t>
      </w:r>
    </w:p>
    <w:p w14:paraId="279763D6" w14:textId="77777777" w:rsidR="001A32C2" w:rsidRPr="006A4708" w:rsidRDefault="001A32C2">
      <w:pPr>
        <w:numPr>
          <w:ilvl w:val="0"/>
          <w:numId w:val="1"/>
        </w:numPr>
        <w:suppressAutoHyphens/>
        <w:spacing w:after="0" w:line="240" w:lineRule="auto"/>
        <w:jc w:val="left"/>
        <w:rPr>
          <w:sz w:val="22"/>
        </w:rPr>
      </w:pPr>
      <w:r w:rsidRPr="006A4708">
        <w:rPr>
          <w:sz w:val="22"/>
        </w:rPr>
        <w:t xml:space="preserve">Риэлторы: электронные таблицы, </w:t>
      </w:r>
      <w:r>
        <w:rPr>
          <w:sz w:val="22"/>
        </w:rPr>
        <w:t>kanban</w:t>
      </w:r>
      <w:r w:rsidRPr="006A4708">
        <w:rPr>
          <w:sz w:val="22"/>
        </w:rPr>
        <w:t xml:space="preserve">-доски и </w:t>
      </w:r>
      <w:r>
        <w:rPr>
          <w:sz w:val="22"/>
        </w:rPr>
        <w:t>CRM</w:t>
      </w:r>
      <w:r w:rsidRPr="006A4708">
        <w:rPr>
          <w:sz w:val="22"/>
        </w:rPr>
        <w:t>-системы для управления этапами сделки.</w:t>
      </w:r>
    </w:p>
    <w:p w14:paraId="75DDD9F6" w14:textId="77777777" w:rsidR="001A32C2" w:rsidRPr="006A4708" w:rsidRDefault="001A32C2">
      <w:pPr>
        <w:numPr>
          <w:ilvl w:val="0"/>
          <w:numId w:val="1"/>
        </w:numPr>
        <w:suppressAutoHyphens/>
        <w:spacing w:after="0" w:line="240" w:lineRule="auto"/>
        <w:jc w:val="left"/>
        <w:rPr>
          <w:sz w:val="22"/>
        </w:rPr>
      </w:pPr>
      <w:r w:rsidRPr="006A4708">
        <w:rPr>
          <w:sz w:val="22"/>
        </w:rPr>
        <w:t>Агентства недвижимости:</w:t>
      </w:r>
      <w:r w:rsidRPr="006A4708">
        <w:rPr>
          <w:sz w:val="22"/>
        </w:rPr>
        <w:br/>
        <w:t>- парсинг досок объявлений – самописные решения;</w:t>
      </w:r>
      <w:r w:rsidRPr="006A4708">
        <w:rPr>
          <w:sz w:val="22"/>
        </w:rPr>
        <w:br/>
        <w:t xml:space="preserve">- контроль деятельности агентов, управление этапами сделки и предоставление типовых шаблонов документов – </w:t>
      </w:r>
      <w:r>
        <w:rPr>
          <w:sz w:val="22"/>
        </w:rPr>
        <w:t>CRM</w:t>
      </w:r>
      <w:r w:rsidRPr="006A4708">
        <w:rPr>
          <w:sz w:val="22"/>
        </w:rPr>
        <w:t>-системы.</w:t>
      </w:r>
    </w:p>
    <w:p w14:paraId="5AFFAEAC" w14:textId="77777777" w:rsidR="001A32C2" w:rsidRPr="006A4708" w:rsidRDefault="001A32C2">
      <w:pPr>
        <w:numPr>
          <w:ilvl w:val="0"/>
          <w:numId w:val="1"/>
        </w:numPr>
        <w:suppressAutoHyphens/>
        <w:spacing w:after="0" w:line="240" w:lineRule="auto"/>
        <w:jc w:val="left"/>
        <w:rPr>
          <w:sz w:val="22"/>
        </w:rPr>
      </w:pPr>
      <w:r w:rsidRPr="006A4708">
        <w:rPr>
          <w:sz w:val="22"/>
        </w:rPr>
        <w:t xml:space="preserve">Застройщики: для экспорта информации об объектах недвижимости используют </w:t>
      </w:r>
      <w:r>
        <w:rPr>
          <w:sz w:val="22"/>
        </w:rPr>
        <w:t>ftp</w:t>
      </w:r>
      <w:r w:rsidRPr="006A4708">
        <w:rPr>
          <w:sz w:val="22"/>
        </w:rPr>
        <w:t>-протоколы или загружают файлы на электронные витрины продавцов вручную.</w:t>
      </w:r>
    </w:p>
    <w:p w14:paraId="1DDCE383" w14:textId="77777777" w:rsidR="001A32C2" w:rsidRPr="006A4708" w:rsidRDefault="001A32C2">
      <w:pPr>
        <w:numPr>
          <w:ilvl w:val="0"/>
          <w:numId w:val="1"/>
        </w:numPr>
        <w:suppressAutoHyphens/>
        <w:spacing w:after="0" w:line="240" w:lineRule="auto"/>
        <w:jc w:val="left"/>
        <w:rPr>
          <w:sz w:val="22"/>
        </w:rPr>
      </w:pPr>
      <w:r w:rsidRPr="006A4708">
        <w:rPr>
          <w:sz w:val="22"/>
        </w:rPr>
        <w:t>Физические лица: доски объявлений, лидеры рынка – Авито и Циан.</w:t>
      </w:r>
    </w:p>
    <w:p w14:paraId="3E10E910" w14:textId="77777777" w:rsidR="001A32C2" w:rsidRPr="006A4708" w:rsidRDefault="001A32C2">
      <w:pPr>
        <w:numPr>
          <w:ilvl w:val="0"/>
          <w:numId w:val="1"/>
        </w:numPr>
        <w:suppressAutoHyphens/>
        <w:spacing w:after="0" w:line="240" w:lineRule="auto"/>
        <w:jc w:val="left"/>
        <w:rPr>
          <w:sz w:val="22"/>
        </w:rPr>
      </w:pPr>
      <w:r w:rsidRPr="006A4708">
        <w:rPr>
          <w:sz w:val="22"/>
        </w:rPr>
        <w:t>Паевые инвестиции в недвижимость: на площадках профессиональных игроков фондового рынка типа БКС, Тиньков-инвестиции и т.д.</w:t>
      </w:r>
    </w:p>
    <w:p w14:paraId="29C9E7CD" w14:textId="77777777" w:rsidR="001A32C2" w:rsidRPr="006A4708" w:rsidRDefault="001A32C2" w:rsidP="001A32C2">
      <w:pPr>
        <w:rPr>
          <w:sz w:val="22"/>
        </w:rPr>
      </w:pPr>
    </w:p>
    <w:p w14:paraId="41CE66E9" w14:textId="77777777" w:rsidR="001A32C2" w:rsidRPr="006A4708" w:rsidRDefault="001A32C2" w:rsidP="001A32C2">
      <w:pPr>
        <w:rPr>
          <w:sz w:val="22"/>
        </w:rPr>
      </w:pPr>
      <w:r w:rsidRPr="006A4708">
        <w:rPr>
          <w:sz w:val="22"/>
        </w:rPr>
        <w:t>Для автоматизации процесса сделок (сценарий типа “Я в Сургуте на деньгах, покупаю ребёнку квартиру в Екатеринбурге и регистрирую право собственности не выходя из дома”) используются инструменты вроде Домклик (от Сбербанка) и Сделка.рф.</w:t>
      </w:r>
      <w:r w:rsidRPr="006A4708">
        <w:rPr>
          <w:sz w:val="22"/>
        </w:rPr>
        <w:br/>
        <w:t xml:space="preserve">Такие системы также имеют интеграцию с </w:t>
      </w:r>
      <w:r>
        <w:rPr>
          <w:sz w:val="22"/>
        </w:rPr>
        <w:t>CRM</w:t>
      </w:r>
      <w:r w:rsidRPr="006A4708">
        <w:rPr>
          <w:sz w:val="22"/>
        </w:rPr>
        <w:t xml:space="preserve">.  </w:t>
      </w:r>
    </w:p>
    <w:p w14:paraId="264EBE68" w14:textId="77777777" w:rsidR="001A32C2" w:rsidRPr="006A4708" w:rsidRDefault="001A32C2" w:rsidP="001A32C2">
      <w:pPr>
        <w:rPr>
          <w:sz w:val="22"/>
        </w:rPr>
      </w:pPr>
    </w:p>
    <w:p w14:paraId="35EB5361" w14:textId="77777777" w:rsidR="001A32C2" w:rsidRDefault="001A32C2" w:rsidP="001A32C2">
      <w:pPr>
        <w:rPr>
          <w:sz w:val="22"/>
        </w:rPr>
      </w:pPr>
      <w:r>
        <w:rPr>
          <w:sz w:val="22"/>
        </w:rPr>
        <w:lastRenderedPageBreak/>
        <w:t>Популярные CRM:</w:t>
      </w:r>
    </w:p>
    <w:p w14:paraId="1FEA818A" w14:textId="77777777" w:rsidR="001A32C2" w:rsidRPr="006A4708" w:rsidRDefault="001A32C2">
      <w:pPr>
        <w:numPr>
          <w:ilvl w:val="0"/>
          <w:numId w:val="2"/>
        </w:numPr>
        <w:suppressAutoHyphens/>
        <w:spacing w:after="0" w:line="240" w:lineRule="auto"/>
        <w:jc w:val="left"/>
        <w:rPr>
          <w:sz w:val="22"/>
        </w:rPr>
      </w:pPr>
      <w:r w:rsidRPr="006A4708">
        <w:rPr>
          <w:sz w:val="22"/>
        </w:rPr>
        <w:t>Битрикс24. Универсальная система. Стоимость: 112-500 руб. за пользователя в месяц.</w:t>
      </w:r>
    </w:p>
    <w:p w14:paraId="027841AF" w14:textId="77777777" w:rsidR="001A32C2" w:rsidRPr="006A4708" w:rsidRDefault="001A32C2">
      <w:pPr>
        <w:numPr>
          <w:ilvl w:val="0"/>
          <w:numId w:val="2"/>
        </w:numPr>
        <w:suppressAutoHyphens/>
        <w:spacing w:after="0" w:line="240" w:lineRule="auto"/>
        <w:jc w:val="left"/>
        <w:rPr>
          <w:sz w:val="22"/>
        </w:rPr>
      </w:pPr>
      <w:r>
        <w:rPr>
          <w:sz w:val="22"/>
        </w:rPr>
        <w:t>AmoCRM</w:t>
      </w:r>
      <w:r w:rsidRPr="006A4708">
        <w:rPr>
          <w:sz w:val="22"/>
        </w:rPr>
        <w:t>. Универсальная система. Стоимость: 500-1500 за пользователя в месяц.</w:t>
      </w:r>
    </w:p>
    <w:p w14:paraId="5A7C930A" w14:textId="77777777" w:rsidR="001A32C2" w:rsidRDefault="001A32C2">
      <w:pPr>
        <w:numPr>
          <w:ilvl w:val="0"/>
          <w:numId w:val="2"/>
        </w:numPr>
        <w:suppressAutoHyphens/>
        <w:spacing w:after="0" w:line="240" w:lineRule="auto"/>
        <w:jc w:val="left"/>
        <w:rPr>
          <w:sz w:val="22"/>
        </w:rPr>
      </w:pPr>
      <w:r w:rsidRPr="006A4708">
        <w:rPr>
          <w:sz w:val="22"/>
        </w:rPr>
        <w:t xml:space="preserve">Домопланер </w:t>
      </w:r>
      <w:r>
        <w:rPr>
          <w:sz w:val="22"/>
        </w:rPr>
        <w:t>D</w:t>
      </w:r>
      <w:r w:rsidRPr="006A4708">
        <w:rPr>
          <w:sz w:val="22"/>
        </w:rPr>
        <w:t xml:space="preserve">. Система ориентирована на застройщиков. 2 343 – 8 500 руб за пользователя в месяц. </w:t>
      </w:r>
      <w:r>
        <w:rPr>
          <w:sz w:val="22"/>
        </w:rPr>
        <w:t>Интегрируется с AmoCRM.</w:t>
      </w:r>
    </w:p>
    <w:p w14:paraId="7821D6E0" w14:textId="77777777" w:rsidR="001A32C2" w:rsidRDefault="001A32C2">
      <w:pPr>
        <w:numPr>
          <w:ilvl w:val="0"/>
          <w:numId w:val="2"/>
        </w:numPr>
        <w:suppressAutoHyphens/>
        <w:spacing w:after="0" w:line="240" w:lineRule="auto"/>
        <w:jc w:val="left"/>
        <w:rPr>
          <w:sz w:val="22"/>
        </w:rPr>
      </w:pPr>
      <w:r>
        <w:rPr>
          <w:sz w:val="22"/>
        </w:rPr>
        <w:t>MacroCRM</w:t>
      </w:r>
      <w:r w:rsidRPr="006A4708">
        <w:rPr>
          <w:sz w:val="22"/>
        </w:rPr>
        <w:t xml:space="preserve">. Система ориентирована на застройщиков. </w:t>
      </w:r>
      <w:r>
        <w:rPr>
          <w:sz w:val="22"/>
        </w:rPr>
        <w:t>Стоимость по запросу.</w:t>
      </w:r>
    </w:p>
    <w:p w14:paraId="75822F05" w14:textId="1761958B" w:rsidR="001A32C2" w:rsidRDefault="001A32C2">
      <w:pPr>
        <w:numPr>
          <w:ilvl w:val="0"/>
          <w:numId w:val="2"/>
        </w:numPr>
        <w:suppressAutoHyphens/>
        <w:spacing w:after="0" w:line="240" w:lineRule="auto"/>
        <w:jc w:val="left"/>
        <w:rPr>
          <w:sz w:val="22"/>
        </w:rPr>
      </w:pPr>
      <w:r>
        <w:rPr>
          <w:sz w:val="22"/>
        </w:rPr>
        <w:t>M2Lab. Система ориентирована на застройщиков, арендодателей и риэлторов. Стоимость по запросу.</w:t>
      </w:r>
    </w:p>
    <w:p w14:paraId="15B2C5E6" w14:textId="77777777" w:rsidR="001A32C2" w:rsidRPr="001A32C2" w:rsidRDefault="001A32C2" w:rsidP="001A32C2">
      <w:pPr>
        <w:suppressAutoHyphens/>
        <w:spacing w:after="0" w:line="240" w:lineRule="auto"/>
        <w:jc w:val="left"/>
        <w:rPr>
          <w:sz w:val="22"/>
        </w:rPr>
      </w:pPr>
    </w:p>
    <w:p w14:paraId="6B846C67" w14:textId="065EB837" w:rsidR="001A32C2" w:rsidRPr="006A4708" w:rsidRDefault="001A32C2" w:rsidP="001A32C2">
      <w:r w:rsidRPr="006A4708">
        <w:t>Для оценки ёмкости рынка жилой недвижимости РФ (отдельно – Краснодарский край), Грузии, Армении, ОАЭ воспользуемся таблицей (актуальные данные):</w:t>
      </w:r>
    </w:p>
    <w:tbl>
      <w:tblPr>
        <w:tblStyle w:val="TableGrid"/>
        <w:tblW w:w="9638" w:type="dxa"/>
        <w:tblLayout w:type="fixed"/>
        <w:tblLook w:val="04A0" w:firstRow="1" w:lastRow="0" w:firstColumn="1" w:lastColumn="0" w:noHBand="0" w:noVBand="1"/>
      </w:tblPr>
      <w:tblGrid>
        <w:gridCol w:w="2265"/>
        <w:gridCol w:w="1027"/>
        <w:gridCol w:w="2450"/>
        <w:gridCol w:w="1272"/>
        <w:gridCol w:w="1175"/>
        <w:gridCol w:w="1449"/>
      </w:tblGrid>
      <w:tr w:rsidR="001A32C2" w14:paraId="2121D931" w14:textId="77777777" w:rsidTr="001A32C2">
        <w:tc>
          <w:tcPr>
            <w:tcW w:w="2265" w:type="dxa"/>
          </w:tcPr>
          <w:p w14:paraId="523FAE64" w14:textId="77777777" w:rsidR="001A32C2" w:rsidRPr="006A4708" w:rsidRDefault="001A32C2" w:rsidP="0047487E">
            <w:pPr>
              <w:pStyle w:val="TableContents"/>
              <w:rPr>
                <w:sz w:val="4"/>
                <w:szCs w:val="4"/>
                <w:lang w:val="ru-RU"/>
              </w:rPr>
            </w:pPr>
          </w:p>
        </w:tc>
        <w:tc>
          <w:tcPr>
            <w:tcW w:w="1027" w:type="dxa"/>
          </w:tcPr>
          <w:p w14:paraId="70121FA5" w14:textId="77777777" w:rsidR="001A32C2" w:rsidRDefault="001A32C2" w:rsidP="0047487E">
            <w:pPr>
              <w:pStyle w:val="TableContents"/>
            </w:pPr>
            <w:r>
              <w:t>РФ</w:t>
            </w:r>
          </w:p>
        </w:tc>
        <w:tc>
          <w:tcPr>
            <w:tcW w:w="2450" w:type="dxa"/>
          </w:tcPr>
          <w:p w14:paraId="0254FDAC" w14:textId="77777777" w:rsidR="001A32C2" w:rsidRDefault="001A32C2" w:rsidP="0047487E">
            <w:pPr>
              <w:pStyle w:val="TableContents"/>
            </w:pPr>
            <w:proofErr w:type="spellStart"/>
            <w:r>
              <w:t>Краснодарский</w:t>
            </w:r>
            <w:proofErr w:type="spellEnd"/>
            <w:r>
              <w:t xml:space="preserve"> </w:t>
            </w:r>
            <w:proofErr w:type="spellStart"/>
            <w:r>
              <w:t>Край</w:t>
            </w:r>
            <w:proofErr w:type="spellEnd"/>
          </w:p>
        </w:tc>
        <w:tc>
          <w:tcPr>
            <w:tcW w:w="1272" w:type="dxa"/>
          </w:tcPr>
          <w:p w14:paraId="1194655C" w14:textId="77777777" w:rsidR="001A32C2" w:rsidRDefault="001A32C2" w:rsidP="0047487E">
            <w:pPr>
              <w:pStyle w:val="TableContents"/>
            </w:pPr>
            <w:proofErr w:type="spellStart"/>
            <w:r>
              <w:t>Грузия</w:t>
            </w:r>
            <w:proofErr w:type="spellEnd"/>
          </w:p>
        </w:tc>
        <w:tc>
          <w:tcPr>
            <w:tcW w:w="1175" w:type="dxa"/>
          </w:tcPr>
          <w:p w14:paraId="050144E8" w14:textId="77777777" w:rsidR="001A32C2" w:rsidRDefault="001A32C2" w:rsidP="0047487E">
            <w:pPr>
              <w:pStyle w:val="TableContents"/>
            </w:pPr>
            <w:proofErr w:type="spellStart"/>
            <w:r>
              <w:t>Армения</w:t>
            </w:r>
            <w:proofErr w:type="spellEnd"/>
          </w:p>
        </w:tc>
        <w:tc>
          <w:tcPr>
            <w:tcW w:w="1449" w:type="dxa"/>
          </w:tcPr>
          <w:p w14:paraId="1CBD3187" w14:textId="77777777" w:rsidR="001A32C2" w:rsidRDefault="001A32C2" w:rsidP="0047487E">
            <w:pPr>
              <w:pStyle w:val="TableContents"/>
            </w:pPr>
            <w:r>
              <w:t>ОАЭ</w:t>
            </w:r>
          </w:p>
        </w:tc>
      </w:tr>
      <w:tr w:rsidR="001A32C2" w14:paraId="265217DE" w14:textId="77777777" w:rsidTr="001A32C2">
        <w:tc>
          <w:tcPr>
            <w:tcW w:w="2265" w:type="dxa"/>
          </w:tcPr>
          <w:p w14:paraId="2A95FBC7" w14:textId="77777777" w:rsidR="001A32C2" w:rsidRDefault="001A32C2" w:rsidP="0047487E">
            <w:pPr>
              <w:pStyle w:val="TableContents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агентств</w:t>
            </w:r>
            <w:proofErr w:type="spellEnd"/>
            <w:r>
              <w:t xml:space="preserve"> </w:t>
            </w:r>
            <w:proofErr w:type="spellStart"/>
            <w:r>
              <w:t>недвижимости</w:t>
            </w:r>
            <w:proofErr w:type="spellEnd"/>
          </w:p>
        </w:tc>
        <w:tc>
          <w:tcPr>
            <w:tcW w:w="1027" w:type="dxa"/>
          </w:tcPr>
          <w:p w14:paraId="56E8C600" w14:textId="77777777" w:rsidR="001A32C2" w:rsidRDefault="001A32C2" w:rsidP="0047487E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2450" w:type="dxa"/>
          </w:tcPr>
          <w:p w14:paraId="3B00DD7E" w14:textId="77777777" w:rsidR="001A32C2" w:rsidRDefault="001A32C2" w:rsidP="0047487E">
            <w:pPr>
              <w:pStyle w:val="TableContents"/>
              <w:jc w:val="right"/>
            </w:pPr>
            <w:r>
              <w:t>192</w:t>
            </w:r>
          </w:p>
        </w:tc>
        <w:tc>
          <w:tcPr>
            <w:tcW w:w="1272" w:type="dxa"/>
          </w:tcPr>
          <w:p w14:paraId="2B3E0F67" w14:textId="77777777" w:rsidR="001A32C2" w:rsidRDefault="001A32C2" w:rsidP="0047487E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175" w:type="dxa"/>
          </w:tcPr>
          <w:p w14:paraId="06E1BA16" w14:textId="77777777" w:rsidR="001A32C2" w:rsidRDefault="001A32C2" w:rsidP="0047487E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449" w:type="dxa"/>
          </w:tcPr>
          <w:p w14:paraId="1CACA567" w14:textId="77777777" w:rsidR="001A32C2" w:rsidRDefault="001A32C2" w:rsidP="0047487E">
            <w:pPr>
              <w:pStyle w:val="TableContents"/>
              <w:jc w:val="center"/>
            </w:pPr>
            <w:r>
              <w:t>-</w:t>
            </w:r>
          </w:p>
        </w:tc>
      </w:tr>
      <w:tr w:rsidR="001A32C2" w14:paraId="7C8E471D" w14:textId="77777777" w:rsidTr="001A32C2">
        <w:tc>
          <w:tcPr>
            <w:tcW w:w="2265" w:type="dxa"/>
          </w:tcPr>
          <w:p w14:paraId="366A6303" w14:textId="77777777" w:rsidR="001A32C2" w:rsidRDefault="001A32C2" w:rsidP="0047487E">
            <w:pPr>
              <w:pStyle w:val="TableContents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застройщиков</w:t>
            </w:r>
            <w:proofErr w:type="spellEnd"/>
          </w:p>
        </w:tc>
        <w:tc>
          <w:tcPr>
            <w:tcW w:w="1027" w:type="dxa"/>
          </w:tcPr>
          <w:p w14:paraId="2A6528E2" w14:textId="77777777" w:rsidR="001A32C2" w:rsidRDefault="001A32C2" w:rsidP="0047487E">
            <w:pPr>
              <w:pStyle w:val="TableContents"/>
              <w:jc w:val="right"/>
            </w:pPr>
            <w:r>
              <w:t>2 268</w:t>
            </w:r>
          </w:p>
        </w:tc>
        <w:tc>
          <w:tcPr>
            <w:tcW w:w="2450" w:type="dxa"/>
          </w:tcPr>
          <w:p w14:paraId="05DE21D3" w14:textId="77777777" w:rsidR="001A32C2" w:rsidRDefault="001A32C2" w:rsidP="0047487E">
            <w:pPr>
              <w:pStyle w:val="TableContents"/>
              <w:jc w:val="right"/>
            </w:pPr>
            <w:r>
              <w:t>86. "</w:t>
            </w:r>
            <w:proofErr w:type="spellStart"/>
            <w:r>
              <w:t>Системообразующих</w:t>
            </w:r>
            <w:proofErr w:type="spellEnd"/>
            <w:r>
              <w:t>" - 45</w:t>
            </w:r>
          </w:p>
        </w:tc>
        <w:tc>
          <w:tcPr>
            <w:tcW w:w="1272" w:type="dxa"/>
          </w:tcPr>
          <w:p w14:paraId="35C44636" w14:textId="77777777" w:rsidR="001A32C2" w:rsidRDefault="001A32C2" w:rsidP="0047487E">
            <w:pPr>
              <w:pStyle w:val="TableContents"/>
              <w:jc w:val="right"/>
            </w:pPr>
            <w:r>
              <w:t>294</w:t>
            </w:r>
          </w:p>
        </w:tc>
        <w:tc>
          <w:tcPr>
            <w:tcW w:w="1175" w:type="dxa"/>
          </w:tcPr>
          <w:p w14:paraId="45C6660D" w14:textId="77777777" w:rsidR="001A32C2" w:rsidRDefault="001A32C2" w:rsidP="0047487E">
            <w:pPr>
              <w:pStyle w:val="TableContents"/>
              <w:jc w:val="right"/>
            </w:pPr>
            <w:r>
              <w:t>30</w:t>
            </w:r>
          </w:p>
        </w:tc>
        <w:tc>
          <w:tcPr>
            <w:tcW w:w="1449" w:type="dxa"/>
          </w:tcPr>
          <w:p w14:paraId="6745D1CB" w14:textId="77777777" w:rsidR="001A32C2" w:rsidRDefault="001A32C2" w:rsidP="0047487E">
            <w:pPr>
              <w:pStyle w:val="TableContents"/>
            </w:pPr>
            <w:proofErr w:type="spellStart"/>
            <w:r>
              <w:t>Несколько</w:t>
            </w:r>
            <w:proofErr w:type="spellEnd"/>
            <w:r>
              <w:t xml:space="preserve"> </w:t>
            </w:r>
            <w:proofErr w:type="spellStart"/>
            <w:r>
              <w:t>сотен</w:t>
            </w:r>
            <w:proofErr w:type="spellEnd"/>
            <w:r>
              <w:t>.</w:t>
            </w:r>
            <w:r>
              <w:br/>
              <w:t xml:space="preserve">В </w:t>
            </w:r>
            <w:proofErr w:type="spellStart"/>
            <w:r>
              <w:t>Дубае</w:t>
            </w:r>
            <w:proofErr w:type="spellEnd"/>
            <w:r>
              <w:t>: 198</w:t>
            </w:r>
          </w:p>
        </w:tc>
      </w:tr>
      <w:tr w:rsidR="001A32C2" w:rsidRPr="006A4708" w14:paraId="219E8A03" w14:textId="77777777" w:rsidTr="001A32C2">
        <w:tc>
          <w:tcPr>
            <w:tcW w:w="2265" w:type="dxa"/>
          </w:tcPr>
          <w:p w14:paraId="794B12BA" w14:textId="77777777" w:rsidR="001A32C2" w:rsidRPr="006A4708" w:rsidRDefault="001A32C2" w:rsidP="0047487E">
            <w:pPr>
              <w:pStyle w:val="TableContents"/>
              <w:rPr>
                <w:lang w:val="ru-RU"/>
              </w:rPr>
            </w:pPr>
            <w:r w:rsidRPr="006A4708">
              <w:rPr>
                <w:lang w:val="ru-RU"/>
              </w:rPr>
              <w:t>М². вводимого жилья в год</w:t>
            </w:r>
          </w:p>
        </w:tc>
        <w:tc>
          <w:tcPr>
            <w:tcW w:w="1027" w:type="dxa"/>
          </w:tcPr>
          <w:p w14:paraId="501A58B0" w14:textId="77777777" w:rsidR="001A32C2" w:rsidRPr="001A32C2" w:rsidRDefault="001A32C2" w:rsidP="0047487E">
            <w:pPr>
              <w:pStyle w:val="TableContents"/>
              <w:rPr>
                <w:lang w:val="ru-RU"/>
              </w:rPr>
            </w:pPr>
            <w:r w:rsidRPr="001A32C2">
              <w:rPr>
                <w:lang w:val="ru-RU"/>
              </w:rPr>
              <w:t>По итогам 2022:</w:t>
            </w:r>
            <w:r w:rsidRPr="001A32C2">
              <w:rPr>
                <w:lang w:val="ru-RU"/>
              </w:rPr>
              <w:br/>
              <w:t>93,3 млн. (в т.ч. ИЖС 56,0 млн.)</w:t>
            </w:r>
          </w:p>
        </w:tc>
        <w:tc>
          <w:tcPr>
            <w:tcW w:w="2450" w:type="dxa"/>
          </w:tcPr>
          <w:p w14:paraId="1DC9402A" w14:textId="77777777" w:rsidR="001A32C2" w:rsidRPr="006A4708" w:rsidRDefault="001A32C2" w:rsidP="0047487E">
            <w:pPr>
              <w:pStyle w:val="TableContents"/>
              <w:rPr>
                <w:lang w:val="ru-RU"/>
              </w:rPr>
            </w:pPr>
            <w:r w:rsidRPr="006A4708">
              <w:rPr>
                <w:lang w:val="ru-RU"/>
              </w:rPr>
              <w:t>За январь—июнь 2022: 3,9 млн, в т.ч. ИЖС 2,6 млн</w:t>
            </w:r>
          </w:p>
        </w:tc>
        <w:tc>
          <w:tcPr>
            <w:tcW w:w="1272" w:type="dxa"/>
          </w:tcPr>
          <w:p w14:paraId="4CAF5822" w14:textId="77777777" w:rsidR="001A32C2" w:rsidRDefault="001A32C2" w:rsidP="0047487E">
            <w:pPr>
              <w:pStyle w:val="TableContents"/>
            </w:pP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январь</w:t>
            </w:r>
            <w:proofErr w:type="spellEnd"/>
            <w:r>
              <w:t>—</w:t>
            </w:r>
            <w:proofErr w:type="spellStart"/>
            <w:r>
              <w:t>июнь</w:t>
            </w:r>
            <w:proofErr w:type="spellEnd"/>
            <w:r>
              <w:t xml:space="preserve"> 2022: 1,25 </w:t>
            </w:r>
            <w:proofErr w:type="spellStart"/>
            <w:r>
              <w:t>млн</w:t>
            </w:r>
            <w:proofErr w:type="spellEnd"/>
          </w:p>
        </w:tc>
        <w:tc>
          <w:tcPr>
            <w:tcW w:w="1175" w:type="dxa"/>
          </w:tcPr>
          <w:p w14:paraId="7DD4F820" w14:textId="77777777" w:rsidR="001A32C2" w:rsidRDefault="001A32C2" w:rsidP="0047487E">
            <w:pPr>
              <w:pStyle w:val="TableContents"/>
            </w:pPr>
            <w:proofErr w:type="spellStart"/>
            <w:r>
              <w:t>За</w:t>
            </w:r>
            <w:proofErr w:type="spellEnd"/>
            <w:r>
              <w:t xml:space="preserve"> 2021: 0,5 </w:t>
            </w:r>
            <w:proofErr w:type="spellStart"/>
            <w:r>
              <w:t>млн</w:t>
            </w:r>
            <w:proofErr w:type="spellEnd"/>
            <w:r>
              <w:t xml:space="preserve">. </w:t>
            </w:r>
            <w:proofErr w:type="gramStart"/>
            <w:r>
              <w:t>ИЖС  0</w:t>
            </w:r>
            <w:proofErr w:type="gramEnd"/>
            <w:r>
              <w:t xml:space="preserve">,22 </w:t>
            </w:r>
            <w:proofErr w:type="spellStart"/>
            <w:r>
              <w:t>млн</w:t>
            </w:r>
            <w:proofErr w:type="spellEnd"/>
          </w:p>
        </w:tc>
        <w:tc>
          <w:tcPr>
            <w:tcW w:w="1449" w:type="dxa"/>
          </w:tcPr>
          <w:p w14:paraId="6E3FD36A" w14:textId="77777777" w:rsidR="001A32C2" w:rsidRPr="006A4708" w:rsidRDefault="001A32C2" w:rsidP="0047487E">
            <w:pPr>
              <w:pStyle w:val="TableContents"/>
              <w:rPr>
                <w:lang w:val="ru-RU"/>
              </w:rPr>
            </w:pPr>
            <w:r w:rsidRPr="006A4708">
              <w:rPr>
                <w:lang w:val="ru-RU"/>
              </w:rPr>
              <w:t xml:space="preserve">НД. Количество сданных в 2022 году “единиц” * в Дубае (без указания площади) -  </w:t>
            </w:r>
            <w:r w:rsidRPr="006A4708">
              <w:rPr>
                <w:lang w:val="ru-RU"/>
              </w:rPr>
              <w:br/>
              <w:t>64 683</w:t>
            </w:r>
          </w:p>
        </w:tc>
      </w:tr>
    </w:tbl>
    <w:p w14:paraId="4CE09235" w14:textId="77777777" w:rsidR="001A32C2" w:rsidRPr="006A4708" w:rsidRDefault="001A32C2" w:rsidP="001A32C2">
      <w:r w:rsidRPr="006A4708">
        <w:t>* “Единица” жилья в ОАЭ – квартира, апартаменты, коттедж, занимаемые одним собственником.</w:t>
      </w:r>
    </w:p>
    <w:p w14:paraId="58768B3C" w14:textId="77777777" w:rsidR="001A32C2" w:rsidRPr="001A32C2" w:rsidRDefault="001A32C2" w:rsidP="001A32C2">
      <w:pPr>
        <w:shd w:val="clear" w:color="auto" w:fill="FFFFFF"/>
        <w:tabs>
          <w:tab w:val="left" w:pos="7225"/>
        </w:tabs>
        <w:spacing w:after="0" w:line="240" w:lineRule="auto"/>
        <w:ind w:right="-426"/>
        <w:rPr>
          <w:rFonts w:ascii="Cambria" w:eastAsia="Times New Roman" w:hAnsi="Cambria" w:cs="Times New Roman"/>
          <w:szCs w:val="24"/>
          <w:lang w:eastAsia="ru-RU"/>
        </w:rPr>
      </w:pPr>
    </w:p>
    <w:sectPr w:rsidR="001A32C2" w:rsidRPr="001A32C2" w:rsidSect="002A7515">
      <w:headerReference w:type="default" r:id="rId10"/>
      <w:footerReference w:type="default" r:id="rId11"/>
      <w:pgSz w:w="11906" w:h="16838"/>
      <w:pgMar w:top="1890" w:right="746" w:bottom="1260" w:left="1440" w:header="450" w:footer="2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BB203" w14:textId="77777777" w:rsidR="008C0C76" w:rsidRDefault="008C0C76" w:rsidP="00417771">
      <w:pPr>
        <w:spacing w:after="0" w:line="240" w:lineRule="auto"/>
      </w:pPr>
      <w:r>
        <w:separator/>
      </w:r>
    </w:p>
  </w:endnote>
  <w:endnote w:type="continuationSeparator" w:id="0">
    <w:p w14:paraId="4B3774B4" w14:textId="77777777" w:rsidR="008C0C76" w:rsidRDefault="008C0C76" w:rsidP="0041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58BF" w14:textId="384B6596" w:rsidR="001D108D" w:rsidRPr="001D108D" w:rsidRDefault="001D108D" w:rsidP="001D108D">
    <w:pPr>
      <w:pStyle w:val="Footer"/>
      <w:jc w:val="right"/>
      <w:rPr>
        <w:sz w:val="16"/>
        <w:szCs w:val="16"/>
        <w:lang w:val="en-US"/>
      </w:rPr>
    </w:pPr>
  </w:p>
  <w:p w14:paraId="30F005E9" w14:textId="2F3D4E96" w:rsidR="001D108D" w:rsidRPr="001D108D" w:rsidRDefault="001D108D" w:rsidP="001D108D">
    <w:pPr>
      <w:pStyle w:val="Footer"/>
      <w:jc w:val="right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6E623" w14:textId="77777777" w:rsidR="008C0C76" w:rsidRDefault="008C0C76" w:rsidP="00417771">
      <w:pPr>
        <w:spacing w:after="0" w:line="240" w:lineRule="auto"/>
      </w:pPr>
      <w:r>
        <w:separator/>
      </w:r>
    </w:p>
  </w:footnote>
  <w:footnote w:type="continuationSeparator" w:id="0">
    <w:p w14:paraId="42F7B812" w14:textId="77777777" w:rsidR="008C0C76" w:rsidRDefault="008C0C76" w:rsidP="00417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71ADA" w14:textId="77777777" w:rsidR="00013607" w:rsidRPr="00D90021" w:rsidRDefault="00013607" w:rsidP="00013607">
    <w:pPr>
      <w:pStyle w:val="Header"/>
      <w:jc w:val="right"/>
      <w:rPr>
        <w:sz w:val="15"/>
        <w:szCs w:val="15"/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single" w:sz="4" w:space="0" w:color="AEAAAA" w:themeColor="background2" w:themeShade="BF"/>
      </w:tblBorders>
      <w:tblLook w:val="04A0" w:firstRow="1" w:lastRow="0" w:firstColumn="1" w:lastColumn="0" w:noHBand="0" w:noVBand="1"/>
    </w:tblPr>
    <w:tblGrid>
      <w:gridCol w:w="7095"/>
      <w:gridCol w:w="2292"/>
    </w:tblGrid>
    <w:tr w:rsidR="00013607" w:rsidRPr="00D90021" w14:paraId="57AD488D" w14:textId="77777777" w:rsidTr="0047487E">
      <w:tc>
        <w:tcPr>
          <w:tcW w:w="7095" w:type="dxa"/>
          <w:vAlign w:val="center"/>
        </w:tcPr>
        <w:p w14:paraId="1D9DDFF5" w14:textId="39A2CAC5" w:rsidR="00013607" w:rsidRPr="00D90021" w:rsidRDefault="00013607" w:rsidP="00013607">
          <w:pPr>
            <w:pStyle w:val="Footer"/>
            <w:jc w:val="right"/>
            <w:rPr>
              <w:b/>
              <w:bCs/>
              <w:sz w:val="15"/>
              <w:szCs w:val="15"/>
              <w:lang w:val="en-US"/>
            </w:rPr>
          </w:pPr>
          <w:proofErr w:type="spellStart"/>
          <w:r>
            <w:rPr>
              <w:b/>
              <w:bCs/>
              <w:sz w:val="15"/>
              <w:szCs w:val="15"/>
              <w:lang w:val="en-US"/>
            </w:rPr>
            <w:t>SpellSystems</w:t>
          </w:r>
          <w:proofErr w:type="spellEnd"/>
          <w:r>
            <w:rPr>
              <w:b/>
              <w:bCs/>
              <w:sz w:val="15"/>
              <w:szCs w:val="15"/>
              <w:lang w:val="en-US"/>
            </w:rPr>
            <w:t xml:space="preserve"> DMCC</w:t>
          </w:r>
        </w:p>
        <w:p w14:paraId="4CA58DC6" w14:textId="77777777" w:rsidR="00013607" w:rsidRPr="00D90021" w:rsidRDefault="00000000" w:rsidP="00013607">
          <w:pPr>
            <w:pStyle w:val="Footer"/>
            <w:jc w:val="right"/>
            <w:rPr>
              <w:sz w:val="15"/>
              <w:szCs w:val="15"/>
              <w:lang w:val="en-US"/>
            </w:rPr>
          </w:pPr>
          <w:hyperlink r:id="rId1" w:history="1">
            <w:r w:rsidR="00013607" w:rsidRPr="00D90021">
              <w:rPr>
                <w:rStyle w:val="Hyperlink"/>
                <w:sz w:val="15"/>
                <w:szCs w:val="15"/>
                <w:lang w:val="en-US"/>
              </w:rPr>
              <w:t>www.spellsystems.com</w:t>
            </w:r>
          </w:hyperlink>
          <w:r w:rsidR="00013607" w:rsidRPr="00D90021">
            <w:rPr>
              <w:sz w:val="15"/>
              <w:szCs w:val="15"/>
              <w:lang w:val="en-US"/>
            </w:rPr>
            <w:t xml:space="preserve"> </w:t>
          </w:r>
        </w:p>
        <w:p w14:paraId="063CC19F" w14:textId="77777777" w:rsidR="00013607" w:rsidRPr="008A61A0" w:rsidRDefault="00000000" w:rsidP="00013607">
          <w:pPr>
            <w:pStyle w:val="Footer"/>
            <w:jc w:val="right"/>
            <w:rPr>
              <w:sz w:val="15"/>
              <w:szCs w:val="15"/>
              <w:lang w:val="en-US"/>
            </w:rPr>
          </w:pPr>
          <w:hyperlink r:id="rId2" w:history="1">
            <w:r w:rsidR="00013607" w:rsidRPr="008A61A0">
              <w:rPr>
                <w:rStyle w:val="Hyperlink"/>
                <w:sz w:val="15"/>
                <w:szCs w:val="15"/>
                <w:lang w:val="en-US"/>
              </w:rPr>
              <w:t>www.cx.technology</w:t>
            </w:r>
          </w:hyperlink>
          <w:r w:rsidR="00013607" w:rsidRPr="008A61A0">
            <w:rPr>
              <w:sz w:val="15"/>
              <w:szCs w:val="15"/>
              <w:lang w:val="en-US"/>
            </w:rPr>
            <w:t xml:space="preserve"> </w:t>
          </w:r>
        </w:p>
        <w:p w14:paraId="63DC9852" w14:textId="5A0101DC" w:rsidR="00013607" w:rsidRPr="00D90021" w:rsidRDefault="00013607" w:rsidP="00013607">
          <w:pPr>
            <w:pStyle w:val="Header"/>
            <w:jc w:val="right"/>
            <w:rPr>
              <w:sz w:val="15"/>
              <w:szCs w:val="15"/>
              <w:lang w:val="en-US"/>
            </w:rPr>
          </w:pPr>
          <w:r w:rsidRPr="00013607">
            <w:rPr>
              <w:sz w:val="15"/>
              <w:szCs w:val="15"/>
              <w:lang w:val="en-US"/>
            </w:rPr>
            <w:t>2808, HDS Tower, Dubai, U</w:t>
          </w:r>
          <w:r>
            <w:rPr>
              <w:sz w:val="15"/>
              <w:szCs w:val="15"/>
              <w:lang w:val="en-US"/>
            </w:rPr>
            <w:t>nited Arab Emirates</w:t>
          </w:r>
        </w:p>
      </w:tc>
      <w:tc>
        <w:tcPr>
          <w:tcW w:w="2230" w:type="dxa"/>
          <w:vAlign w:val="center"/>
        </w:tcPr>
        <w:p w14:paraId="20CC7E66" w14:textId="77777777" w:rsidR="00013607" w:rsidRPr="00D90021" w:rsidRDefault="00013607" w:rsidP="00013607">
          <w:pPr>
            <w:pStyle w:val="Footer"/>
            <w:rPr>
              <w:sz w:val="15"/>
              <w:szCs w:val="15"/>
              <w:lang w:val="en-US"/>
            </w:rPr>
          </w:pPr>
          <w:r w:rsidRPr="00D90021">
            <w:rPr>
              <w:noProof/>
              <w:sz w:val="15"/>
              <w:szCs w:val="15"/>
            </w:rPr>
            <w:drawing>
              <wp:inline distT="0" distB="0" distL="0" distR="0" wp14:anchorId="002F3F5C" wp14:editId="2F9E49A5">
                <wp:extent cx="1318260" cy="466566"/>
                <wp:effectExtent l="0" t="0" r="0" b="0"/>
                <wp:docPr id="52" name="Рисунок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455" cy="473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019C527" w14:textId="77777777" w:rsidR="00013607" w:rsidRPr="00D90021" w:rsidRDefault="00013607" w:rsidP="00013607">
          <w:pPr>
            <w:pStyle w:val="Header"/>
            <w:rPr>
              <w:sz w:val="15"/>
              <w:szCs w:val="15"/>
              <w:lang w:val="en-US"/>
            </w:rPr>
          </w:pPr>
        </w:p>
      </w:tc>
    </w:tr>
  </w:tbl>
  <w:p w14:paraId="780E51F7" w14:textId="56A8851A" w:rsidR="00D90021" w:rsidRPr="00013607" w:rsidRDefault="00D90021" w:rsidP="00013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D1FE2"/>
    <w:multiLevelType w:val="multilevel"/>
    <w:tmpl w:val="C810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1BF228F"/>
    <w:multiLevelType w:val="hybridMultilevel"/>
    <w:tmpl w:val="8B3AD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C586D"/>
    <w:multiLevelType w:val="hybridMultilevel"/>
    <w:tmpl w:val="31ECB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D0E71"/>
    <w:multiLevelType w:val="multilevel"/>
    <w:tmpl w:val="6D5E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31350937">
    <w:abstractNumId w:val="0"/>
  </w:num>
  <w:num w:numId="2" w16cid:durableId="9375979">
    <w:abstractNumId w:val="3"/>
  </w:num>
  <w:num w:numId="3" w16cid:durableId="224687148">
    <w:abstractNumId w:val="2"/>
  </w:num>
  <w:num w:numId="4" w16cid:durableId="113811329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07"/>
    <w:rsid w:val="0001248A"/>
    <w:rsid w:val="00013607"/>
    <w:rsid w:val="0007199B"/>
    <w:rsid w:val="000818D2"/>
    <w:rsid w:val="000D5167"/>
    <w:rsid w:val="000E2A54"/>
    <w:rsid w:val="00185E2E"/>
    <w:rsid w:val="001957B0"/>
    <w:rsid w:val="001A32C2"/>
    <w:rsid w:val="001A6EAE"/>
    <w:rsid w:val="001D108D"/>
    <w:rsid w:val="00273D91"/>
    <w:rsid w:val="002A7515"/>
    <w:rsid w:val="002D49BF"/>
    <w:rsid w:val="002F7A5A"/>
    <w:rsid w:val="00310F3E"/>
    <w:rsid w:val="0032367E"/>
    <w:rsid w:val="0034638D"/>
    <w:rsid w:val="0037324B"/>
    <w:rsid w:val="003B3F3E"/>
    <w:rsid w:val="003B5D40"/>
    <w:rsid w:val="003F5152"/>
    <w:rsid w:val="00417771"/>
    <w:rsid w:val="00444307"/>
    <w:rsid w:val="004B639F"/>
    <w:rsid w:val="004D3669"/>
    <w:rsid w:val="004F68D4"/>
    <w:rsid w:val="0051326B"/>
    <w:rsid w:val="00583936"/>
    <w:rsid w:val="005B1F48"/>
    <w:rsid w:val="005C2F24"/>
    <w:rsid w:val="00604110"/>
    <w:rsid w:val="00634355"/>
    <w:rsid w:val="006604FE"/>
    <w:rsid w:val="0067543B"/>
    <w:rsid w:val="006B2641"/>
    <w:rsid w:val="006C5CE8"/>
    <w:rsid w:val="0075647A"/>
    <w:rsid w:val="007A1753"/>
    <w:rsid w:val="007B13EC"/>
    <w:rsid w:val="007B7A2B"/>
    <w:rsid w:val="007C4B9E"/>
    <w:rsid w:val="007D3FE2"/>
    <w:rsid w:val="007D4AA0"/>
    <w:rsid w:val="00803D41"/>
    <w:rsid w:val="0083345D"/>
    <w:rsid w:val="00870723"/>
    <w:rsid w:val="008C0C76"/>
    <w:rsid w:val="008F4B2A"/>
    <w:rsid w:val="009078AF"/>
    <w:rsid w:val="009802B4"/>
    <w:rsid w:val="00994CD2"/>
    <w:rsid w:val="009D58E0"/>
    <w:rsid w:val="009E1122"/>
    <w:rsid w:val="009E5EDE"/>
    <w:rsid w:val="009E7AC5"/>
    <w:rsid w:val="009F519E"/>
    <w:rsid w:val="00A05F9E"/>
    <w:rsid w:val="00A55507"/>
    <w:rsid w:val="00A8758A"/>
    <w:rsid w:val="00A970AB"/>
    <w:rsid w:val="00AC0198"/>
    <w:rsid w:val="00AE3CDA"/>
    <w:rsid w:val="00AE7FD7"/>
    <w:rsid w:val="00B10790"/>
    <w:rsid w:val="00B1539A"/>
    <w:rsid w:val="00B2725A"/>
    <w:rsid w:val="00B60B08"/>
    <w:rsid w:val="00B977F6"/>
    <w:rsid w:val="00BA52CD"/>
    <w:rsid w:val="00BC748D"/>
    <w:rsid w:val="00BE4425"/>
    <w:rsid w:val="00BF32CB"/>
    <w:rsid w:val="00BF4FC4"/>
    <w:rsid w:val="00C03D75"/>
    <w:rsid w:val="00C105BF"/>
    <w:rsid w:val="00C106D4"/>
    <w:rsid w:val="00C4181D"/>
    <w:rsid w:val="00D46FCD"/>
    <w:rsid w:val="00D52569"/>
    <w:rsid w:val="00D760AE"/>
    <w:rsid w:val="00D90021"/>
    <w:rsid w:val="00D92DE4"/>
    <w:rsid w:val="00DB49B9"/>
    <w:rsid w:val="00DD004C"/>
    <w:rsid w:val="00DE0316"/>
    <w:rsid w:val="00E3209E"/>
    <w:rsid w:val="00E45A40"/>
    <w:rsid w:val="00E62B09"/>
    <w:rsid w:val="00E6426D"/>
    <w:rsid w:val="00EA05E4"/>
    <w:rsid w:val="00EC425A"/>
    <w:rsid w:val="00ED3DDF"/>
    <w:rsid w:val="00EE63C8"/>
    <w:rsid w:val="00F10FBB"/>
    <w:rsid w:val="00F35D9D"/>
    <w:rsid w:val="00F57CE4"/>
    <w:rsid w:val="00F819FE"/>
    <w:rsid w:val="00FC4CDD"/>
    <w:rsid w:val="00FE06AD"/>
    <w:rsid w:val="00FE1664"/>
    <w:rsid w:val="00F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BF8E0"/>
  <w15:chartTrackingRefBased/>
  <w15:docId w15:val="{AEF10CC1-5C19-4DAF-A151-179C92C6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F48"/>
    <w:pPr>
      <w:jc w:val="both"/>
    </w:pPr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9B9"/>
    <w:pPr>
      <w:keepNext/>
      <w:keepLines/>
      <w:spacing w:before="360" w:after="240"/>
      <w:outlineLvl w:val="0"/>
    </w:pPr>
    <w:rPr>
      <w:rFonts w:eastAsiaTheme="majorEastAsia" w:cstheme="majorBidi"/>
      <w:b/>
      <w:color w:val="D8262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9B9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D8262C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307"/>
    <w:pPr>
      <w:ind w:left="720"/>
      <w:contextualSpacing/>
    </w:pPr>
  </w:style>
  <w:style w:type="table" w:styleId="TableGrid">
    <w:name w:val="Table Grid"/>
    <w:basedOn w:val="TableNormal"/>
    <w:uiPriority w:val="39"/>
    <w:rsid w:val="00A0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771"/>
  </w:style>
  <w:style w:type="paragraph" w:styleId="Footer">
    <w:name w:val="footer"/>
    <w:basedOn w:val="Normal"/>
    <w:link w:val="FooterChar"/>
    <w:uiPriority w:val="99"/>
    <w:unhideWhenUsed/>
    <w:rsid w:val="00417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771"/>
  </w:style>
  <w:style w:type="character" w:styleId="Hyperlink">
    <w:name w:val="Hyperlink"/>
    <w:basedOn w:val="DefaultParagraphFont"/>
    <w:uiPriority w:val="99"/>
    <w:unhideWhenUsed/>
    <w:rsid w:val="001D1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0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B1F48"/>
    <w:rPr>
      <w:b/>
      <w:bCs/>
    </w:rPr>
  </w:style>
  <w:style w:type="paragraph" w:customStyle="1" w:styleId="ql-indent-1">
    <w:name w:val="ql-indent-1"/>
    <w:basedOn w:val="Normal"/>
    <w:rsid w:val="005B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ql-indent-2">
    <w:name w:val="ql-indent-2"/>
    <w:basedOn w:val="Normal"/>
    <w:rsid w:val="005B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B49B9"/>
    <w:rPr>
      <w:rFonts w:ascii="Roboto" w:eastAsiaTheme="majorEastAsia" w:hAnsi="Roboto" w:cstheme="majorBidi"/>
      <w:b/>
      <w:color w:val="D8262C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9B9"/>
    <w:rPr>
      <w:rFonts w:asciiTheme="majorHAnsi" w:eastAsiaTheme="majorEastAsia" w:hAnsiTheme="majorHAnsi" w:cstheme="majorBidi"/>
      <w:b/>
      <w:color w:val="D8262C"/>
      <w:sz w:val="32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7199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2725A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rsid w:val="001A32C2"/>
    <w:pPr>
      <w:suppressAutoHyphens/>
      <w:spacing w:after="140" w:line="276" w:lineRule="auto"/>
      <w:jc w:val="left"/>
    </w:pPr>
    <w:rPr>
      <w:rFonts w:ascii="Liberation Serif" w:eastAsia="Noto Serif CJK SC" w:hAnsi="Liberation Serif" w:cs="FreeSans"/>
      <w:kern w:val="2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1A32C2"/>
    <w:rPr>
      <w:rFonts w:ascii="Liberation Serif" w:eastAsia="Noto Serif CJK SC" w:hAnsi="Liberation Serif" w:cs="FreeSans"/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10"/>
    <w:qFormat/>
    <w:rsid w:val="001A32C2"/>
    <w:pPr>
      <w:keepNext/>
      <w:suppressAutoHyphens/>
      <w:spacing w:before="240" w:after="120" w:line="240" w:lineRule="auto"/>
      <w:jc w:val="center"/>
    </w:pPr>
    <w:rPr>
      <w:rFonts w:ascii="Liberation Sans" w:eastAsia="Noto Sans CJK SC" w:hAnsi="Liberation Sans" w:cs="FreeSans"/>
      <w:b/>
      <w:bCs/>
      <w:kern w:val="2"/>
      <w:sz w:val="56"/>
      <w:szCs w:val="56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1A32C2"/>
    <w:rPr>
      <w:rFonts w:ascii="Liberation Sans" w:eastAsia="Noto Sans CJK SC" w:hAnsi="Liberation Sans" w:cs="FreeSans"/>
      <w:b/>
      <w:bCs/>
      <w:kern w:val="2"/>
      <w:sz w:val="56"/>
      <w:szCs w:val="56"/>
      <w:lang w:val="en-US" w:eastAsia="zh-C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1A32C2"/>
    <w:pPr>
      <w:keepNext/>
      <w:suppressAutoHyphens/>
      <w:spacing w:before="60" w:after="120" w:line="240" w:lineRule="auto"/>
      <w:jc w:val="center"/>
    </w:pPr>
    <w:rPr>
      <w:rFonts w:ascii="Liberation Sans" w:eastAsia="Noto Sans CJK SC" w:hAnsi="Liberation Sans" w:cs="FreeSans"/>
      <w:kern w:val="2"/>
      <w:sz w:val="36"/>
      <w:szCs w:val="36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A32C2"/>
    <w:rPr>
      <w:rFonts w:ascii="Liberation Sans" w:eastAsia="Noto Sans CJK SC" w:hAnsi="Liberation Sans" w:cs="FreeSans"/>
      <w:kern w:val="2"/>
      <w:sz w:val="36"/>
      <w:szCs w:val="36"/>
      <w:lang w:val="en-US" w:eastAsia="zh-CN" w:bidi="hi-IN"/>
    </w:rPr>
  </w:style>
  <w:style w:type="paragraph" w:customStyle="1" w:styleId="TableContents">
    <w:name w:val="Table Contents"/>
    <w:basedOn w:val="Normal"/>
    <w:qFormat/>
    <w:rsid w:val="001A32C2"/>
    <w:pPr>
      <w:widowControl w:val="0"/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FreeSans"/>
      <w:kern w:val="2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4124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9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213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1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780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4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562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3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81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2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91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1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28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cx.technology" TargetMode="External"/><Relationship Id="rId1" Type="http://schemas.openxmlformats.org/officeDocument/2006/relationships/hyperlink" Target="http://www.spellsystem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ECA45-D9E9-46C1-B76E-9D89B05D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Karulin</dc:creator>
  <cp:keywords/>
  <dc:description/>
  <cp:lastModifiedBy>Sergey Karulin</cp:lastModifiedBy>
  <cp:revision>3</cp:revision>
  <cp:lastPrinted>2022-07-27T11:09:00Z</cp:lastPrinted>
  <dcterms:created xsi:type="dcterms:W3CDTF">2023-01-15T19:05:00Z</dcterms:created>
  <dcterms:modified xsi:type="dcterms:W3CDTF">2023-01-15T19:25:00Z</dcterms:modified>
</cp:coreProperties>
</file>