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2105025" cy="790575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Аналитическая записка. ESG в России. Основные проблемы и пути решения</w:t>
      </w:r>
    </w:p>
    <w:p w:rsidR="00000000" w:rsidDel="00000000" w:rsidP="00000000" w:rsidRDefault="00000000" w:rsidRPr="00000000" w14:paraId="00000008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096" w:firstLine="0"/>
        <w:jc w:val="left"/>
        <w:rPr/>
      </w:pPr>
      <w:r w:rsidDel="00000000" w:rsidR="00000000" w:rsidRPr="00000000">
        <w:rPr>
          <w:rtl w:val="0"/>
        </w:rPr>
        <w:t xml:space="preserve">Составили Селищев Д., Малина. Н., Погонин А.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nvzdpju0ohab" w:id="0"/>
      <w:bookmarkEnd w:id="0"/>
      <w:r w:rsidDel="00000000" w:rsidR="00000000" w:rsidRPr="00000000">
        <w:rPr>
          <w:rtl w:val="0"/>
        </w:rPr>
        <w:t xml:space="preserve">Что такое ESG?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Существует 3 основных умных фразы: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SDG (Sustainable Development Goals) Глобальные цели устойчивого развития. Их 17 штук. Созданы для того, чтобы остановить изменение климата.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ESG (Environmetal, Social, Governance)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Sustainable Development (Устойчивое развитие)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На оснований этих целей весь мир идет к прекрасному будущему, и как результат появились рекомендации для предоставления нефинансовой отчетности в сфере экологии, социальной и корпоративной ответственности. Существующие виды правовых рамок носят рекомендательный характер. Название отчетов в этой сфере бывают 2 видов, синонимы: ESG report  и Sustainable report. Основной посыл это раскрыть информацию о деятельности компании в сфере ESG для всех заинтересованных стейкхолдеров (инвесторы, банки, клиенты, партнеры). </w:t>
      </w:r>
      <w:r w:rsidDel="00000000" w:rsidR="00000000" w:rsidRPr="00000000">
        <w:rPr>
          <w:rtl w:val="0"/>
        </w:rPr>
        <w:t xml:space="preserve">Цель компаний предоставляющих такие отчеты, это донести что вся  деятельность основана на принципах ответственности в экологии, обществе и корпоративном управлении. Чем сложнее деятельность компании, тем более сложным будет такой отчет.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d040rc7b5n39" w:id="1"/>
      <w:bookmarkEnd w:id="1"/>
      <w:r w:rsidDel="00000000" w:rsidR="00000000" w:rsidRPr="00000000">
        <w:rPr>
          <w:rtl w:val="0"/>
        </w:rPr>
        <w:t xml:space="preserve">Основные проблемы ESG в России.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Ключевое внимание в добыче приковано к проблемам загрязнения окружающей среды  и социальной ответственности.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В настоящее время ESG и требование следовать концепции “</w:t>
      </w:r>
      <w:r w:rsidDel="00000000" w:rsidR="00000000" w:rsidRPr="00000000">
        <w:rPr>
          <w:i w:val="1"/>
          <w:rtl w:val="0"/>
        </w:rPr>
        <w:t xml:space="preserve">зеленых бланков</w:t>
      </w:r>
      <w:r w:rsidDel="00000000" w:rsidR="00000000" w:rsidRPr="00000000">
        <w:rPr>
          <w:rtl w:val="0"/>
        </w:rPr>
        <w:t xml:space="preserve">” не встроены в законодательную систему России, и необходимость данной меры является дискуссионным вопросом в среде крупнейших объединений и ассоциаций, однако на мировом рынке этот тренд активно развивается и является важным критерием для устойчивого развития компании, и эти тренды уже находят отражения в отечественных крупных компаниях. Крупнейшие  корпораций в России предоставляют отчеты об устойчивом развитии заказывая данную услугу в международных консалтинговых компаниях. В РФ не существует никаких софт-решений относительно сбора и анализа информации для  отчетов ESG. Существуют несколько консалтинговых компаний, которые точечно работают над каждым отчетом.   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Глобальная структура экосистемы ESG имеет вид:</w:t>
      </w:r>
    </w:p>
    <w:p w:rsidR="00000000" w:rsidDel="00000000" w:rsidP="00000000" w:rsidRDefault="00000000" w:rsidRPr="00000000" w14:paraId="00000023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17.322834645669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17.3228346456694" w:firstLine="1417.3228346456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417.3228346456694" w:firstLine="1417.3228346456694"/>
        <w:rPr/>
      </w:pPr>
      <w:r w:rsidDel="00000000" w:rsidR="00000000" w:rsidRPr="00000000">
        <w:rPr>
          <w:rtl w:val="0"/>
        </w:rPr>
        <w:t xml:space="preserve">Cтруктура экосистемы ESG</w:t>
      </w:r>
    </w:p>
    <w:p w:rsidR="00000000" w:rsidDel="00000000" w:rsidP="00000000" w:rsidRDefault="00000000" w:rsidRPr="00000000" w14:paraId="00000027">
      <w:pPr>
        <w:ind w:left="-1417.3228346456694" w:firstLine="1417.3228346456694"/>
        <w:rPr/>
      </w:pPr>
      <w:r w:rsidDel="00000000" w:rsidR="00000000" w:rsidRPr="00000000">
        <w:rPr/>
        <w:drawing>
          <wp:inline distB="114300" distT="114300" distL="114300" distR="114300">
            <wp:extent cx="5580250" cy="2654300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2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С ростом внимания к устойчивому развития в России возникает необходимость создания софта для сбора, аккумуляции и оценки ESG- информации.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На мировом рынке данный софт очень  активно развивается на B2B и B2C рынке.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Основными требованиями в сфере ESG являются: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экологический менеджмент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энергоменеджмент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менеджмент безопасности труда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социальной ответственностью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качеством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Для этих и других требований ESG существуют международные стандарты для сертификации, которые и необходимо внедрять в  БП для сбора информации об устойчивом развитии.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Для интеграция ESG требований, стандартов, бэнчмарков, целей   в текущие БП компании для создания ESG отчетов, стратегий требуется не только общедоступная методология, но и  соответствующий софт, который позволит: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Интегрировать правовые рамки и показатели ESG в операционные БП компании и ее филиалов.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Мониторить созданную  “дорожную карту “ ESG на регулярной основе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Качественно и быстро управлять БП в области экологии, социальной и корпоративной ответственности, улучшая производительность, репутацию и устойчивость развития бизнеса.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Придерживаться курса “устойчивого развития” в долгосрочной перспективе.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Оптимизировать операционные процессы для достижения лучших результатов по всем трем направлениям.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Для решения экологических вопросов, основываясь на концепции ESG, необходимы ресурсы и инструменты, которые смогут оперировать большими данными (Big Data). 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d4bodun1e3p0" w:id="2"/>
      <w:bookmarkEnd w:id="2"/>
      <w:r w:rsidDel="00000000" w:rsidR="00000000" w:rsidRPr="00000000">
        <w:rPr>
          <w:rtl w:val="0"/>
        </w:rPr>
        <w:t xml:space="preserve">Лучшие иностранные софтверные решения в сфере ESG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24903" cy="387142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4903" cy="387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Quentic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Sustainability</w:t>
        </w:r>
      </w:hyperlink>
      <w:r w:rsidDel="00000000" w:rsidR="00000000" w:rsidRPr="00000000">
        <w:rPr>
          <w:rtl w:val="0"/>
        </w:rPr>
        <w:t xml:space="preserve"> - часть программного обеспечения </w:t>
      </w:r>
      <w:r w:rsidDel="00000000" w:rsidR="00000000" w:rsidRPr="00000000">
        <w:rPr>
          <w:rtl w:val="0"/>
        </w:rPr>
        <w:t xml:space="preserve">Quentic</w:t>
      </w:r>
      <w:r w:rsidDel="00000000" w:rsidR="00000000" w:rsidRPr="00000000">
        <w:rPr>
          <w:rtl w:val="0"/>
        </w:rPr>
        <w:t xml:space="preserve">, которое позволяет оценивать и анализировать экологические и экономические области вашей компании. При помощи </w:t>
      </w:r>
      <w:r w:rsidDel="00000000" w:rsidR="00000000" w:rsidRPr="00000000">
        <w:rPr>
          <w:rtl w:val="0"/>
        </w:rPr>
        <w:t xml:space="preserve">Quentic</w:t>
      </w:r>
      <w:r w:rsidDel="00000000" w:rsidR="00000000" w:rsidRPr="00000000">
        <w:rPr>
          <w:rtl w:val="0"/>
        </w:rPr>
        <w:t xml:space="preserve"> Sustainability, компания может анализировать и объединять показатели связанные с ESG и соответствовать общим стандартам отчетности.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53503" cy="236678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3503" cy="236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RPMGLOBAL Sustainability technology</w:t>
        </w:r>
      </w:hyperlink>
      <w:r w:rsidDel="00000000" w:rsidR="00000000" w:rsidRPr="00000000">
        <w:rPr>
          <w:rtl w:val="0"/>
        </w:rPr>
        <w:t xml:space="preserve"> - это технология, которая способствует развитию и стремлению инициативы Net Zero в сфере промышленных и горнодобывающих компаниях. Технология содержит в себе решения связанные со сбором, расчетом, мониторингом и анализом большого количество данных. Развивает концепцию ESG исключительно в экологической сфере.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89398" cy="391249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398" cy="39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ISYSTAIN Sustainability Software Platform</w:t>
        </w:r>
      </w:hyperlink>
      <w:r w:rsidDel="00000000" w:rsidR="00000000" w:rsidRPr="00000000">
        <w:rPr>
          <w:rtl w:val="0"/>
        </w:rPr>
        <w:t xml:space="preserve"> - это набор гибких облачных программных модулей для управления безопасностью, здоровьем, окружающей среды, экологии, выброса углерода, корпоративной социальной ответственности и многого другого. При помощи ПО iSystain можно измерять, отслеживать и улучшать практически все показатели и аспекты ответственного ведения бизнеса.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036436" cy="570918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436" cy="570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AMCS</w:t>
        </w:r>
      </w:hyperlink>
      <w:r w:rsidDel="00000000" w:rsidR="00000000" w:rsidRPr="00000000">
        <w:rPr>
          <w:rtl w:val="0"/>
        </w:rPr>
        <w:t xml:space="preserve"> - программного обеспечение, которое решает проблемы связанные с управлением в сфере экологии, позволяет создавать качественную отчетность показателей ESG.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Sphera Solutions INC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Locus Technologies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Isometrix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Keramida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Enhelix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Workiva Inc.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Vervantis Inc.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Emex Software LTD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Wolters Kluwer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2zvw436om9aa" w:id="3"/>
      <w:bookmarkEnd w:id="3"/>
      <w:r w:rsidDel="00000000" w:rsidR="00000000" w:rsidRPr="00000000">
        <w:rPr>
          <w:rtl w:val="0"/>
        </w:rPr>
        <w:t xml:space="preserve">Ситуация с отечественными софтверные решения в сфере ESG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данный момент на рынке отечественного софта невозможно найти никаких софтверных решений связанных с оперированием основных показателей ESG в промышленности и в других сферах.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z8cmlpkqrr6z" w:id="4"/>
      <w:bookmarkEnd w:id="4"/>
      <w:r w:rsidDel="00000000" w:rsidR="00000000" w:rsidRPr="00000000">
        <w:rPr>
          <w:rtl w:val="0"/>
        </w:rPr>
        <w:t xml:space="preserve">Компетенции Техносур в ESG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Сотрудники Техконсур имеют опыт работы в сфере ESG. В том числе некоторые из сотрудников получают образование  Sustainability Management School (SUMAS, Switzerland), Sustainable Finance курс в Cambridge Institute for Sustainability Leadership (UK). Основные компетенции  сотрудников заключаются в: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знания правовых рамок в сфере ESG: различные виды регламентированных стандартов, сертификаций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практические знания в области устойчивых финансов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знания в области устойчивого маркетинга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управления операциями в ESG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зеленое производство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практический опыт создания дорожных карт и  ESG стратегий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оценок ESG и управление процессом внутреннего одобрения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eading=h.5p37l4mgmo5c" w:id="5"/>
      <w:bookmarkEnd w:id="5"/>
      <w:r w:rsidDel="00000000" w:rsidR="00000000" w:rsidRPr="00000000">
        <w:rPr>
          <w:rtl w:val="0"/>
        </w:rPr>
        <w:t xml:space="preserve">Приложение (не для распространения)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Полезные статьи для чтения: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https://ibs.ru/media/media/esg-transformatsiya-rossiyskikh-kompaniy-v-novykh-usloviyakh-aktualnye-vyzovy-i-prioritety/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https://habr.com/ru/companies/onlinepatent/articles/699760/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Важно понимать, что </w:t>
      </w:r>
      <w:r w:rsidDel="00000000" w:rsidR="00000000" w:rsidRPr="00000000">
        <w:rPr>
          <w:b w:val="1"/>
          <w:rtl w:val="0"/>
        </w:rPr>
        <w:t xml:space="preserve">esg software mining</w:t>
      </w:r>
      <w:r w:rsidDel="00000000" w:rsidR="00000000" w:rsidRPr="00000000">
        <w:rPr>
          <w:rtl w:val="0"/>
        </w:rPr>
        <w:t xml:space="preserve"> в России не развит, Основная информации в РФ  содержит обобщенные данные о софте  ESG (зарубежном), которые решают проблемы экологии не только связанные с горной и металлургической промышленностью.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Текущий фремворк ESG</w:t>
        <w:br w:type="textWrapping"/>
      </w:r>
      <w:r w:rsidDel="00000000" w:rsidR="00000000" w:rsidRPr="00000000">
        <w:rPr/>
        <w:drawing>
          <wp:inline distB="114300" distT="114300" distL="114300" distR="114300">
            <wp:extent cx="2199537" cy="4759141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537" cy="4759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even"/>
      <w:pgSz w:h="16838" w:w="11906" w:orient="portrait"/>
      <w:pgMar w:bottom="1134" w:top="1951" w:left="2267.71653543307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407534" cy="8407534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2554223" y="2384270"/>
                        <a:ext cx="5583555" cy="279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CORTEX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407534" cy="8407534"/>
              <wp:effectExtent b="0" l="0" r="0" t="0"/>
              <wp:wrapNone/>
              <wp:docPr id="2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07534" cy="84075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sz w:val="20"/>
        <w:szCs w:val="20"/>
      </w:rPr>
      <w:drawing>
        <wp:inline distB="114300" distT="114300" distL="114300" distR="114300">
          <wp:extent cx="1136513" cy="426835"/>
          <wp:effectExtent b="0" l="0" r="0" t="0"/>
          <wp:docPr id="3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6513" cy="4268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tabs>
        <w:tab w:val="center" w:leader="none" w:pos="4677"/>
        <w:tab w:val="right" w:leader="none" w:pos="9355"/>
        <w:tab w:val="left" w:leader="none" w:pos="1889"/>
      </w:tabs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ООО «ТЕХКОНСУР»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16"/>
        <w:szCs w:val="16"/>
        <w:rtl w:val="0"/>
      </w:rPr>
      <w:t xml:space="preserve">ул. Б. Новодмитровская, д. 14, стр. 1, помещ. I, ком. 99, Москва</w:t>
      <w:br w:type="textWrapping"/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www.tkur.ru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ru-RU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54A8"/>
    <w:pPr>
      <w:jc w:val="both"/>
    </w:pPr>
    <w:rPr>
      <w:rFonts w:ascii="Roboto" w:hAnsi="Roboto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954A8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54A8"/>
  </w:style>
  <w:style w:type="paragraph" w:styleId="Footer">
    <w:name w:val="footer"/>
    <w:basedOn w:val="Normal"/>
    <w:link w:val="FooterChar"/>
    <w:uiPriority w:val="99"/>
    <w:unhideWhenUsed w:val="1"/>
    <w:rsid w:val="002954A8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4A8"/>
  </w:style>
  <w:style w:type="paragraph" w:styleId="ListParagraph">
    <w:name w:val="List Paragraph"/>
    <w:basedOn w:val="Normal"/>
    <w:link w:val="ListParagraphChar"/>
    <w:uiPriority w:val="34"/>
    <w:qFormat w:val="1"/>
    <w:rsid w:val="002954A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954A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2954A8"/>
    <w:rPr>
      <w:color w:val="0563c1" w:themeColor="hyperlink"/>
      <w:u w:val="single"/>
    </w:rPr>
  </w:style>
  <w:style w:type="paragraph" w:styleId="ql-indent-2" w:customStyle="1">
    <w:name w:val="ql-indent-2"/>
    <w:basedOn w:val="Normal"/>
    <w:link w:val="ql-indent-20"/>
    <w:rsid w:val="002954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ru-RU"/>
    </w:rPr>
  </w:style>
  <w:style w:type="paragraph" w:styleId="BodyText">
    <w:name w:val="Body Text"/>
    <w:basedOn w:val="Normal"/>
    <w:link w:val="BodyTextChar"/>
    <w:rsid w:val="002954A8"/>
    <w:pPr>
      <w:suppressAutoHyphens w:val="1"/>
      <w:spacing w:after="140" w:line="276" w:lineRule="auto"/>
      <w:jc w:val="left"/>
    </w:pPr>
    <w:rPr>
      <w:rFonts w:ascii="Liberation Serif" w:cs="FreeSans" w:eastAsia="Noto Serif CJK SC" w:hAnsi="Liberation Serif"/>
      <w:kern w:val="2"/>
      <w:szCs w:val="24"/>
      <w:lang w:bidi="hi-IN" w:eastAsia="zh-CN" w:val="en-US"/>
    </w:rPr>
  </w:style>
  <w:style w:type="character" w:styleId="BodyTextChar" w:customStyle="1">
    <w:name w:val="Body Text Char"/>
    <w:basedOn w:val="DefaultParagraphFont"/>
    <w:link w:val="BodyText"/>
    <w:rsid w:val="002954A8"/>
    <w:rPr>
      <w:rFonts w:ascii="Liberation Serif" w:cs="FreeSans" w:eastAsia="Noto Serif CJK SC" w:hAnsi="Liberation Serif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BodyText"/>
    <w:link w:val="SubtitleChar"/>
    <w:uiPriority w:val="11"/>
    <w:qFormat w:val="1"/>
    <w:rsid w:val="002954A8"/>
    <w:pPr>
      <w:keepNext w:val="1"/>
      <w:suppressAutoHyphens w:val="1"/>
      <w:spacing w:after="120" w:before="60" w:line="240" w:lineRule="auto"/>
      <w:jc w:val="center"/>
    </w:pPr>
    <w:rPr>
      <w:rFonts w:ascii="Liberation Sans" w:cs="FreeSans" w:eastAsia="Noto Sans CJK SC" w:hAnsi="Liberation Sans"/>
      <w:kern w:val="2"/>
      <w:sz w:val="36"/>
      <w:szCs w:val="36"/>
      <w:lang w:bidi="hi-IN" w:eastAsia="zh-CN"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02954A8"/>
    <w:rPr>
      <w:rFonts w:ascii="Liberation Sans" w:cs="FreeSans" w:eastAsia="Noto Sans CJK SC" w:hAnsi="Liberation Sans"/>
      <w:kern w:val="2"/>
      <w:sz w:val="36"/>
      <w:szCs w:val="36"/>
      <w:lang w:bidi="hi-IN" w:eastAsia="zh-CN" w:val="en-US"/>
    </w:rPr>
  </w:style>
  <w:style w:type="character" w:styleId="ql-indent-20" w:customStyle="1">
    <w:name w:val="ql-indent-2 Знак"/>
    <w:basedOn w:val="DefaultParagraphFont"/>
    <w:link w:val="ql-indent-2"/>
    <w:rsid w:val="002954A8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E607E1"/>
    <w:rPr>
      <w:rFonts w:ascii="Roboto" w:hAnsi="Roboto"/>
      <w:sz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1772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www.quentic.com/software/sustainability/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www.quentic.com/software/sustainability/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rpmglobal.com/ru/product/sustainable-technology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www.isystain.com/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www.amcsgroup.com/solutions/ehsq-esg-management/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habr.com/ru/companies/onlinepatent/articles/699760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ibs.ru/media/media/esg-transformatsiya-rossiyskikh-kompaniy-v-novykh-usloviyakh-aktualnye-vyzovy-i-prioritety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tku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UHrN3S7okAPYnv+RmYXeKG/qcA==">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2023-02-15T13:41:00Z</dcterms:created>
  <dc:creator>admin</dc:creator>
</cp:coreProperties>
</file>