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7094</wp:posOffset>
            </wp:positionV>
            <wp:extent cx="4125073" cy="626400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sz w:val="42"/>
          <w:szCs w:val="42"/>
        </w:rPr>
      </w:pPr>
      <w:bookmarkStart w:colFirst="0" w:colLast="0" w:name="_heading=h.h3h9knp92ao1" w:id="0"/>
      <w:bookmarkEnd w:id="0"/>
      <w:r w:rsidDel="00000000" w:rsidR="00000000" w:rsidRPr="00000000">
        <w:rPr>
          <w:sz w:val="42"/>
          <w:szCs w:val="42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 разработку комплексного программного обеспечения управленческого учета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816" w:firstLine="383.999999999999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816" w:firstLine="383.9999999999998"/>
        <w:jc w:val="left"/>
        <w:rPr/>
      </w:pPr>
      <w:r w:rsidDel="00000000" w:rsidR="00000000" w:rsidRPr="00000000">
        <w:rPr>
          <w:rtl w:val="0"/>
        </w:rPr>
        <w:t xml:space="preserve">Селищев Д.С.</w:t>
        <w:br w:type="textWrapping"/>
        <w:tab/>
        <w:t xml:space="preserve">Ред. 1 от </w:t>
        <w:br w:type="textWrapping"/>
        <w:tab/>
        <w:t xml:space="preserve">31.03.2025 г.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8164n7zhbkrb" w:id="1"/>
      <w:bookmarkEnd w:id="1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Данный документ включает в себя видение и представление разработки программного обеспечения управленческого учета, нацеленного на улучшение финансовых моделей и процессов.</w:t>
      </w:r>
    </w:p>
    <w:p w:rsidR="00000000" w:rsidDel="00000000" w:rsidP="00000000" w:rsidRDefault="00000000" w:rsidRPr="00000000" w14:paraId="0000001C">
      <w:pPr>
        <w:pStyle w:val="Heading2"/>
        <w:spacing w:line="360" w:lineRule="auto"/>
        <w:rPr/>
      </w:pPr>
      <w:bookmarkStart w:colFirst="0" w:colLast="0" w:name="_heading=h.czn9pskcaap8" w:id="2"/>
      <w:bookmarkEnd w:id="2"/>
      <w:r w:rsidDel="00000000" w:rsidR="00000000" w:rsidRPr="00000000">
        <w:rPr>
          <w:rtl w:val="0"/>
        </w:rPr>
        <w:t xml:space="preserve">Термины и сокращения</w:t>
      </w:r>
    </w:p>
    <w:sdt>
      <w:sdtPr>
        <w:lock w:val="contentLocked"/>
        <w:tag w:val="goog_rdk_1"/>
      </w:sdtPr>
      <w:sdtContent>
        <w:tbl>
          <w:tblPr>
            <w:tblStyle w:val="Table1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5"/>
            <w:gridCol w:w="3075"/>
            <w:gridCol w:w="5715"/>
            <w:tblGridChange w:id="0">
              <w:tblGrid>
                <w:gridCol w:w="525"/>
                <w:gridCol w:w="3075"/>
                <w:gridCol w:w="57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sz w:val="20"/>
                        <w:szCs w:val="20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Термин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МОЛ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Материально-ответственное лицо за определенный проект (может быть руководителем проекта), составляет расходы, заявки, отправляет все на утверждение.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Регламент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Определенное правило в системе, настраиваемое на верхнем уровне (для каждой сущности и каждого проекта в системе разный регламент), в случае невыполнения приводит в инцидентам.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Инцидент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Результат невыполнения регламента, уведомление в системе. На основе инцидентов строится рейтинговая модель сотрудников.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Касса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Кассы делятся на разные уровни, основной инструмент для выполнения бюджетного плана и финансирования. Касса = кошелек. Имеет различные параметры в себе и статусы для утверждения и привязки к конкретному проекту и МОЛ’у.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Направление проекта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Подсущность проекта, которая хранит в себе сущности расходных статей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Унифицированная отчетность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Документы, генерируемые в системе и готовые для экспорта в различные системы (Power Pivot, Excel, Click и др.), является результатом работы финансовой структуры и отражают в себе перемещения денежных средств.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Заявка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Сущность, которая необходима для создания транзакций в системе, формируется на этапе бюджетирования и создания вручную в интерфейсе и проходит этап утверждения и согласования по регламенту.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/>
      </w:pPr>
      <w:bookmarkStart w:colFirst="0" w:colLast="0" w:name="_heading=h.npqmcdw8ban8" w:id="3"/>
      <w:bookmarkEnd w:id="3"/>
      <w:r w:rsidDel="00000000" w:rsidR="00000000" w:rsidRPr="00000000">
        <w:rPr>
          <w:rtl w:val="0"/>
        </w:rPr>
        <w:t xml:space="preserve">Цели проекта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Основная цель проекта - регулирование финансовых потоков холдинга, создание единого набора правил финансового контроля, обеспечение их исполнения всеми участниками, снижение финансовых рисков.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частности в результате проекта будет обеспечено: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предопределение финансовых потоков и надёжная фиксация движения денежных средств и касс внутри системы,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удобный процесс согласования бюджетов и платежей, с возможностью выделения изменений по отношению к прошлым версиям, и возможность создавать процедуры упрощенного согласования,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контроль и отслеживание операций и передачи денежных средств при помощи мобильного телефона и веб-приложения,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единый регламент представления, согласования и исполнения бюджетов, заявок на финансирование, отчетов о расходах,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автоматическая сверка транзакций для контроля расходов,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управление инцидентами: нарушение регламента (в том числе систематическое), риски кассовых разрывов,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формирование юридически значимых документов (УКЭП) в части подтверждения получения денежных средств материально ответственными лицами,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унифицированная отчетность в разрезах инвесторов, проектов, касс, материально ответственных лиц, статей расходов и их групп, а также  возможность экспорта данных во внешние системы построения отчётов (Excel, PowerPivot, Click, Tableau, Superset или иные).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Результатом работ проекта является прозрачность, снижение рисков и полный контроль над финансами.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rPr/>
      </w:pPr>
      <w:bookmarkStart w:colFirst="0" w:colLast="0" w:name="_heading=h.fgoxk512j9o6" w:id="4"/>
      <w:bookmarkEnd w:id="4"/>
      <w:r w:rsidDel="00000000" w:rsidR="00000000" w:rsidRPr="00000000">
        <w:rPr>
          <w:rtl w:val="0"/>
        </w:rPr>
        <w:t xml:space="preserve">Этапы проектирования и разработки</w:t>
      </w:r>
    </w:p>
    <w:sdt>
      <w:sdtPr>
        <w:lock w:val="contentLocked"/>
        <w:tag w:val="goog_rdk_3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4755"/>
            <w:gridCol w:w="1815"/>
            <w:gridCol w:w="2340"/>
            <w:tblGridChange w:id="0">
              <w:tblGrid>
                <w:gridCol w:w="450"/>
                <w:gridCol w:w="4755"/>
                <w:gridCol w:w="1815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b w:val="1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Наименование этапа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Результат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Выполнено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Исследование текущих процессов с целью выявления рисков в текущей модели финансового и управленческого учета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Описание процессов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0ff00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00ff00"/>
                    <w:sz w:val="22"/>
                    <w:szCs w:val="22"/>
                    <w:rtl w:val="0"/>
                  </w:rPr>
                  <w:t xml:space="preserve">выполнено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Анализ рисков и написание технического задания на разработку системы учета и финансирования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Модель рисков и готовое ТЗ ver.1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1c23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00ff00"/>
                    <w:sz w:val="22"/>
                    <w:szCs w:val="22"/>
                    <w:rtl w:val="0"/>
                  </w:rPr>
                  <w:t xml:space="preserve">выполнено, ждет согласования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Разработка ПО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Готовое ПО для тестирования и отладки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1c23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1c232"/>
                    <w:sz w:val="22"/>
                    <w:szCs w:val="22"/>
                    <w:rtl w:val="0"/>
                  </w:rPr>
                  <w:t xml:space="preserve">ждет согласования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Тестирование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Готовый продукт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ff0000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ff0000"/>
                    <w:sz w:val="22"/>
                    <w:szCs w:val="22"/>
                    <w:rtl w:val="0"/>
                  </w:rPr>
                  <w:t xml:space="preserve">не выполнено</w:t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spacing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Первый и второй этап были выполнены в рамках проектирования.</w:t>
      </w:r>
    </w:p>
    <w:p w:rsidR="00000000" w:rsidDel="00000000" w:rsidP="00000000" w:rsidRDefault="00000000" w:rsidRPr="00000000" w14:paraId="00000058">
      <w:pPr>
        <w:pStyle w:val="Heading2"/>
        <w:spacing w:before="200" w:lineRule="auto"/>
        <w:rPr/>
      </w:pPr>
      <w:bookmarkStart w:colFirst="0" w:colLast="0" w:name="_heading=h.aafp98qhmkrr" w:id="5"/>
      <w:bookmarkEnd w:id="5"/>
      <w:r w:rsidDel="00000000" w:rsidR="00000000" w:rsidRPr="00000000">
        <w:rPr>
          <w:rtl w:val="0"/>
        </w:rPr>
        <w:t xml:space="preserve">Обзор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Разработка программного обеспечения охватывает создание специализированных модулей, направленных на выполнение ключевых требований заказчика, а также на оптимизацию текущей системы учёта: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и ролевая модель внутри системы;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Функциональные возможности создания и наполнения сущности проекта;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инструментов для создания расходных статей в системе;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создания касс и привязки кассы к проекту в системе;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Импортирование файлов плана финансирования и источников финансирования;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Функциональный набор для возможности создания бюджета определенного проекта на основе созданных расходных статей;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Конфигуратор регламентов соглашений и утверждений в системе;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Механизм автоматического/ручного создания заявок на расход исходя из бюджета в проекте;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Простая электронная подпись действий и утверждений в системе (ПЭП) и электронная цифровая подпись на документы имеющие юридическую силу (ЭЦП);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транзакций и автоматическое создание расписки о получении денег с возможностью выставления ЭЦП;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Импортирование закрывающих документов по расходам;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действий сотрудников и рейтинговая система сотрудников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 уведомлений и инцидентов;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Конфигурирование системы;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отчетности на основе данных, существующих в системе;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Логирование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Готовый продукт представляется в двух представлениях: Десктопное веб-приложение (для работы с ПК) и мобильное веб-приложение. </w:t>
      </w:r>
      <w:r w:rsidDel="00000000" w:rsidR="00000000" w:rsidRPr="00000000">
        <w:rPr>
          <w:b w:val="1"/>
          <w:rtl w:val="0"/>
        </w:rPr>
        <w:t xml:space="preserve">Модули мобильного веб-сайта: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и ролевая модель;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заявок на расход;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Согласование и утверждение действий в системе на основе (ПЭП);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 формирование транзакций, а также формирование расписки о получении/передачи денежных средств с ЭЦП;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 уведомлений и инцидентов</w:t>
      </w:r>
    </w:p>
    <w:p w:rsidR="00000000" w:rsidDel="00000000" w:rsidP="00000000" w:rsidRDefault="00000000" w:rsidRPr="00000000" w14:paraId="00000070">
      <w:pPr>
        <w:pStyle w:val="Heading2"/>
        <w:spacing w:line="360" w:lineRule="auto"/>
        <w:rPr/>
      </w:pPr>
      <w:bookmarkStart w:colFirst="0" w:colLast="0" w:name="_heading=h.w8hq35o1krmz" w:id="6"/>
      <w:bookmarkEnd w:id="6"/>
      <w:r w:rsidDel="00000000" w:rsidR="00000000" w:rsidRPr="00000000">
        <w:rPr>
          <w:rtl w:val="0"/>
        </w:rPr>
        <w:t xml:space="preserve">Бюджет</w:t>
      </w:r>
    </w:p>
    <w:sdt>
      <w:sdtPr>
        <w:lock w:val="contentLocked"/>
        <w:tag w:val="goog_rdk_5"/>
      </w:sdtPr>
      <w:sdtContent>
        <w:tbl>
          <w:tblPr>
            <w:tblStyle w:val="Table3"/>
            <w:tblW w:w="94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"/>
            <w:gridCol w:w="4275"/>
            <w:gridCol w:w="2370"/>
            <w:gridCol w:w="2355"/>
            <w:tblGridChange w:id="0">
              <w:tblGrid>
                <w:gridCol w:w="465"/>
                <w:gridCol w:w="4275"/>
                <w:gridCol w:w="2370"/>
                <w:gridCol w:w="23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Nova Mono" w:cs="Nova Mono" w:eastAsia="Nova Mono" w:hAnsi="Nova Mono"/>
                        <w:b w:val="1"/>
                        <w:rtl w:val="0"/>
                      </w:rPr>
                      <w:t xml:space="preserve">№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Наименование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Кол-во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Срок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Руководитель проекта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 месяцев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Front-end программист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 месяцев</w:t>
                </w:r>
              </w:p>
            </w:tc>
          </w:tr>
          <w:tr>
            <w:trPr>
              <w:cantSplit w:val="0"/>
              <w:trHeight w:val="549.042968749999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Back-end программист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 месяцев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QA-инженер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 месяцев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DevOps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 месяца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Срок разработки составляет </w:t>
      </w:r>
      <w:r w:rsidDel="00000000" w:rsidR="00000000" w:rsidRPr="00000000">
        <w:rPr>
          <w:b w:val="1"/>
          <w:rtl w:val="0"/>
        </w:rPr>
        <w:t xml:space="preserve">6 месяцев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Сумма и стоимость разработки составляет </w:t>
      </w:r>
      <w:r w:rsidDel="00000000" w:rsidR="00000000" w:rsidRPr="00000000">
        <w:rPr>
          <w:b w:val="1"/>
          <w:rtl w:val="0"/>
        </w:rPr>
        <w:t xml:space="preserve">21 600 000 рублей**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риски по срокам возлагаются на исполнителя (в случае если работа займет больше 6 месяцев)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** оплату необходимо производить 6-тью частями (раз в месяц) по 3 600 000 рублей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8" w:w="11906" w:orient="portrait"/>
      <w:pgMar w:bottom="1134" w:top="1951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-1072994</wp:posOffset>
          </wp:positionH>
          <wp:positionV relativeFrom="paragraph">
            <wp:posOffset>-147318</wp:posOffset>
          </wp:positionV>
          <wp:extent cx="4125073" cy="626400"/>
          <wp:effectExtent b="0" l="0" r="0" t="0"/>
          <wp:wrapNone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ООО «КОРТЕКС»</w:t>
      <w:br w:type="textWrapping"/>
    </w:r>
    <w:hyperlink r:id="rId2"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www.cx.technology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www.spellsystems.com</w:t>
      </w:r>
    </w:hyperlink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br w:type="textWrapping"/>
      <w:t xml:space="preserve">350063, г. Краснодар, ул. </w:t>
    </w:r>
    <w:r w:rsidDel="00000000" w:rsidR="00000000" w:rsidRPr="00000000">
      <w:rPr>
        <w:sz w:val="20"/>
        <w:szCs w:val="20"/>
        <w:rtl w:val="0"/>
      </w:rPr>
      <w:t xml:space="preserve">Северная</w:t>
    </w: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д. 3</w:t>
    </w:r>
    <w:r w:rsidDel="00000000" w:rsidR="00000000" w:rsidRPr="00000000">
      <w:rPr>
        <w:sz w:val="20"/>
        <w:szCs w:val="20"/>
        <w:rtl w:val="0"/>
      </w:rPr>
      <w:t xml:space="preserve">24А, 10 этаж, офис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5" cy="840753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4223" y="2384270"/>
                        <a:ext cx="5583555" cy="279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CORTEX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407535" cy="8407535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7535" cy="84075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4A8"/>
    <w:pPr>
      <w:jc w:val="both"/>
    </w:pPr>
    <w:rPr>
      <w:rFonts w:ascii="Roboto" w:hAnsi="Roboto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4A8"/>
  </w:style>
  <w:style w:type="paragraph" w:styleId="Footer">
    <w:name w:val="footer"/>
    <w:basedOn w:val="Normal"/>
    <w:link w:val="Foot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4A8"/>
  </w:style>
  <w:style w:type="paragraph" w:styleId="ListParagraph">
    <w:name w:val="List Paragraph"/>
    <w:basedOn w:val="Normal"/>
    <w:link w:val="ListParagraphChar"/>
    <w:uiPriority w:val="34"/>
    <w:qFormat w:val="1"/>
    <w:rsid w:val="002954A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5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954A8"/>
    <w:rPr>
      <w:color w:val="0563c1" w:themeColor="hyperlink"/>
      <w:u w:val="single"/>
    </w:rPr>
  </w:style>
  <w:style w:type="paragraph" w:styleId="ql-indent-2" w:customStyle="1">
    <w:name w:val="ql-indent-2"/>
    <w:basedOn w:val="Normal"/>
    <w:link w:val="ql-indent-20"/>
    <w:rsid w:val="002954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BodyText">
    <w:name w:val="Body Text"/>
    <w:basedOn w:val="Normal"/>
    <w:link w:val="BodyTextChar"/>
    <w:rsid w:val="002954A8"/>
    <w:pPr>
      <w:suppressAutoHyphens w:val="1"/>
      <w:spacing w:after="140" w:line="276" w:lineRule="auto"/>
      <w:jc w:val="left"/>
    </w:pPr>
    <w:rPr>
      <w:rFonts w:ascii="Liberation Serif" w:cs="FreeSans" w:eastAsia="Noto Serif CJK SC" w:hAnsi="Liberation Serif"/>
      <w:kern w:val="2"/>
      <w:szCs w:val="24"/>
      <w:lang w:bidi="hi-IN" w:eastAsia="zh-CN" w:val="en-US"/>
    </w:rPr>
  </w:style>
  <w:style w:type="character" w:styleId="BodyTextChar" w:customStyle="1">
    <w:name w:val="Body Text Char"/>
    <w:basedOn w:val="DefaultParagraphFont"/>
    <w:link w:val="BodyText"/>
    <w:rsid w:val="002954A8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2954A8"/>
    <w:pPr>
      <w:keepNext w:val="1"/>
      <w:suppressAutoHyphens w:val="1"/>
      <w:spacing w:after="120" w:before="60" w:line="240" w:lineRule="auto"/>
      <w:jc w:val="center"/>
    </w:pPr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2954A8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ql-indent-20" w:customStyle="1">
    <w:name w:val="ql-indent-2 Знак"/>
    <w:basedOn w:val="DefaultParagraphFont"/>
    <w:link w:val="ql-indent-2"/>
    <w:rsid w:val="00295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607E1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7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Relationship Id="rId3" Type="http://schemas.openxmlformats.org/officeDocument/2006/relationships/hyperlink" Target="http://www.spellsystems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IFecAeUK0OEOAd5YJXXZprsDw==">CgMxLjAaFgoBMBIRCg8IB0ILEglOb3ZhIE1vbm8aHwoBMRIaChgICVIUChJ0YWJsZS5nMTUweTY2d2hyNnQaFgoBMhIRCg8IB0ILEglOb3ZhIE1vbm8aHwoBMxIaChgICVIUChJ0YWJsZS41bnVnYzF0emN1bWMaFgoBNBIRCg8IB0ILEglOb3ZhIE1vbm8aHwoBNRIaChgICVIUChJ0YWJsZS5penJjdzBkbGQ3ZWMyDmguaDNoOWtucDkyYW8xMg5oLjgxNjRuN3poYmtyYjIOaC5jem45cHNrY2FhcDgyDmgubnBxbWNkdzhiYW44Mg5oLmZnb3hrNTEyajlvNjIOaC5hYWZwOThxaG1rcnIyDmgudzhocTM1bzFrcm16OAByITFPenc5MDl0UmRBU2E1YlNfdXFtYzQweVdFRUhPWUM3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2023-02-15T13:41:00Z</dcterms:created>
  <dc:creator>admin</dc:creator>
</cp:coreProperties>
</file>