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7094</wp:posOffset>
            </wp:positionV>
            <wp:extent cx="4125073" cy="626400"/>
            <wp:effectExtent b="0" l="0" r="0" t="0"/>
            <wp:wrapNone/>
            <wp:docPr descr="A yellow and black logo&#10;&#10;AI-generated content may be incorrect." id="29" name="image1.png"/>
            <a:graphic>
              <a:graphicData uri="http://schemas.openxmlformats.org/drawingml/2006/picture">
                <pic:pic>
                  <pic:nvPicPr>
                    <pic:cNvPr descr="A yellow and black logo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36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8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на разработку</w:t>
      </w:r>
    </w:p>
    <w:p w:rsidR="00000000" w:rsidDel="00000000" w:rsidP="00000000" w:rsidRDefault="00000000" w:rsidRPr="00000000" w14:paraId="00000009">
      <w:pPr>
        <w:shd w:fill="fff2cc" w:val="clear"/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СИСТЕМЫ ИНТЕЛЛЕКТУАЛЬНОЙ ФИЛЬТРАЦИИ ПОЧТОВЫХ СООБЩЕНИЙ </w:t>
      </w:r>
    </w:p>
    <w:p w:rsidR="00000000" w:rsidDel="00000000" w:rsidP="00000000" w:rsidRDefault="00000000" w:rsidRPr="00000000" w14:paraId="0000000A">
      <w:pPr>
        <w:ind w:left="36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Описание решения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Система интеллектуальной фильтрации почтовых сообщений предназначена для выявления потенциальных нарушений в электронных письмах до их доставки конечному получателю. Решение интегрируется с почтовым сервером CommuniGate и использует передовые технологии искусственного интеллекта (ComradeAI, модель Qwen 2.5) для анализа содержания писем и выявления нежелательного контента.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Архитектура системы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Система состоит из нескольких ключевых компонентов: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Скрипт-фильтр</w:t>
      </w:r>
      <w:r w:rsidDel="00000000" w:rsidR="00000000" w:rsidRPr="00000000">
        <w:rPr>
          <w:rtl w:val="0"/>
        </w:rPr>
        <w:t xml:space="preserve">, подключаемый к почтовому серверу CommuniGate через механизм "внешние фильтры".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Основной сервис</w:t>
      </w:r>
      <w:r w:rsidDel="00000000" w:rsidR="00000000" w:rsidRPr="00000000">
        <w:rPr>
          <w:rtl w:val="0"/>
        </w:rPr>
        <w:t xml:space="preserve">, работающий в среде Docker и взаимодействующий с ИИ (ComradeAI, модель Qwen 2.5) через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Панель управления и мониторинга</w:t>
      </w:r>
      <w:r w:rsidDel="00000000" w:rsidR="00000000" w:rsidRPr="00000000">
        <w:rPr>
          <w:rtl w:val="0"/>
        </w:rPr>
        <w:t xml:space="preserve">, позволяющая настраивать параметры фильтрации, отслеживать статистику обработки писем и управлять политиками маршрутизации сообщений.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Взаимодействие компонентов осуществляется следующим образом: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При поступлении письма на почтовый сервер CommuniGate, оно передается в скрипт-фильтр.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Скрипт отправляет письмо в основной сервис, который анализирует его с помощью ИИ.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Искусственный интеллект оценивает письмо на предмет наличия нарушений.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Если нарушений нет, письмо передается получателю без изменений. В противном случае добавляется специальный заголовок, после чего письмо перенаправляется модератору или в зависимости от настроек – в заданную папку.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Основные функциональные возможности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Гибкая интеграция с CommuniGate</w:t>
      </w:r>
      <w:r w:rsidDel="00000000" w:rsidR="00000000" w:rsidRPr="00000000">
        <w:rPr>
          <w:rtl w:val="0"/>
        </w:rPr>
        <w:t xml:space="preserve"> – система использует встроенные механизмы внешних фильтров для обработки сообщений.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Использование искусственного интеллекта</w:t>
      </w:r>
      <w:r w:rsidDel="00000000" w:rsidR="00000000" w:rsidRPr="00000000">
        <w:rPr>
          <w:rtl w:val="0"/>
        </w:rPr>
        <w:t xml:space="preserve"> – анализ содержания писем на основе модели Qwen 2.5 позволяет выявлять нежелательный контент.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Автоматическая маршрутизация</w:t>
      </w:r>
      <w:r w:rsidDel="00000000" w:rsidR="00000000" w:rsidRPr="00000000">
        <w:rPr>
          <w:rtl w:val="0"/>
        </w:rPr>
        <w:t xml:space="preserve"> – система позволяет либо автоматически доставлять письма, либо отправлять их на модерацию в зависимости от результатов анализа.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Контейнеризация</w:t>
      </w:r>
      <w:r w:rsidDel="00000000" w:rsidR="00000000" w:rsidRPr="00000000">
        <w:rPr>
          <w:rtl w:val="0"/>
        </w:rPr>
        <w:t xml:space="preserve"> – использование Docker обеспечивает удобное развертывание и масштабируемость решения.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Настраиваемые правила фильтрации</w:t>
      </w:r>
      <w:r w:rsidDel="00000000" w:rsidR="00000000" w:rsidRPr="00000000">
        <w:rPr>
          <w:rtl w:val="0"/>
        </w:rPr>
        <w:t xml:space="preserve"> – возможность адаптации модели под конкретные категории нарушений.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Графический интерфейс администратора</w:t>
      </w:r>
      <w:r w:rsidDel="00000000" w:rsidR="00000000" w:rsidRPr="00000000">
        <w:rPr>
          <w:rtl w:val="0"/>
        </w:rPr>
        <w:t xml:space="preserve"> – удобный веб-интерфейс для настройки правил фильтрации, управления списками отправителей и контроля маршрутизации писем.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Журналирование и мониторинг</w:t>
      </w:r>
      <w:r w:rsidDel="00000000" w:rsidR="00000000" w:rsidRPr="00000000">
        <w:rPr>
          <w:rtl w:val="0"/>
        </w:rPr>
        <w:t xml:space="preserve"> – система логирования с возможностью просмотра отчетов по обработке сообщений, динамике изменений и выявленным нарушениям.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Ручное управление модерацией</w:t>
      </w:r>
      <w:r w:rsidDel="00000000" w:rsidR="00000000" w:rsidRPr="00000000">
        <w:rPr>
          <w:rtl w:val="0"/>
        </w:rPr>
        <w:t xml:space="preserve"> – администраторы могут просматривать подозрительные письма, отмечать их как безопасные или добавлять отправителей в черный/белый список.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Преимущества системы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Высокая точность анализа</w:t>
      </w:r>
      <w:r w:rsidDel="00000000" w:rsidR="00000000" w:rsidRPr="00000000">
        <w:rPr>
          <w:rtl w:val="0"/>
        </w:rPr>
        <w:t xml:space="preserve"> – благодаря использованию передовой ИИ-модели.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Минимальное влияние на производительность</w:t>
      </w:r>
      <w:r w:rsidDel="00000000" w:rsidR="00000000" w:rsidRPr="00000000">
        <w:rPr>
          <w:rtl w:val="0"/>
        </w:rPr>
        <w:t xml:space="preserve"> – фильтрация выполняется до момента доставки письма, исключая задержки в почтовом трафике.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Гибкость настройки</w:t>
      </w:r>
      <w:r w:rsidDel="00000000" w:rsidR="00000000" w:rsidRPr="00000000">
        <w:rPr>
          <w:rtl w:val="0"/>
        </w:rPr>
        <w:t xml:space="preserve"> – возможность изменения логики обработки в зависимости от бизнес-потребностей.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Простота развертывания</w:t>
      </w:r>
      <w:r w:rsidDel="00000000" w:rsidR="00000000" w:rsidRPr="00000000">
        <w:rPr>
          <w:rtl w:val="0"/>
        </w:rPr>
        <w:t xml:space="preserve"> – контейнерная архитектура позволяет легко адаптировать систему к разным средам.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Полный контроль над фильтрацией</w:t>
      </w:r>
      <w:r w:rsidDel="00000000" w:rsidR="00000000" w:rsidRPr="00000000">
        <w:rPr>
          <w:rtl w:val="0"/>
        </w:rPr>
        <w:t xml:space="preserve"> – возможность управлять политиками и маршрутизацией через панель администратора.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Итоговая версия системы</w:t>
      </w:r>
    </w:p>
    <w:p w:rsidR="00000000" w:rsidDel="00000000" w:rsidP="00000000" w:rsidRDefault="00000000" w:rsidRPr="00000000" w14:paraId="0000002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Для полноценного использования система должна включать: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Панель управления (веб-интерфейс)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Настройка правил фильтрации (по отправителю, получателю, содержанию письма, категориям нарушений).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Управление белыми и черными списками.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Просмотр отчетов и логов работы системы.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Настройка маршрутизации писем (автоматическая доставка, перенаправление на модерацию, удаление спама).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Настройка приоритетов обработки писем и исключений из фильтрации.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Система мониторинга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Логирование всех обработанных писем с отметкой о статусе (пропущено, отправлено на модерацию, заблокировано).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Интерактивные отчеты о работе фильтрации (количество обработанных сообщений, количество нарушений, активность пользователей).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Оповещения о критических событиях (резкое увеличение количества спам-писем, ошибки в работе сервиса).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Механизмы управления пользователями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Роли и права доступа для администраторов и модераторов.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Аудит действий пользователей в системе.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Интеграция с корпоративными учетными записями (SSO, LDAP).</w:t>
      </w:r>
    </w:p>
    <w:p w:rsidR="00000000" w:rsidDel="00000000" w:rsidP="00000000" w:rsidRDefault="00000000" w:rsidRPr="00000000" w14:paraId="0000003A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Поставка оборудования</w:t>
      </w:r>
    </w:p>
    <w:p w:rsidR="00000000" w:rsidDel="00000000" w:rsidP="00000000" w:rsidRDefault="00000000" w:rsidRPr="00000000" w14:paraId="0000003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Для работы системы на инфраструктуре заказчика необходимо следующее оборудование, которое входит в стоимость данного коммерческого предложения: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Серверная платформа: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ASUS ESC8000-E11-SKU1/10G/3KW(2+2)/3PCIe – 1 шт.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Процессоры: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LGA4677 Intel Xeon Gold 6430 (Ice Lake, 32C/64T, 2.1/3.4GHz, 60MB, 270W) OEM – 2 шт.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Оперативная память: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Samsung DDR5 64GB RDIMM PC5600 – 4 шт.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Накопители: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Samsung SSD PM897, 960GB, 2.5" 7mm, SATA3, 3D TLC – 2 шт.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Графические ускорители: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VGA NVIDIA RTX 6000 ADA, 48 GB GDDR6 with ECC – 4 шт.</w:t>
      </w:r>
    </w:p>
    <w:p w:rsidR="00000000" w:rsidDel="00000000" w:rsidP="00000000" w:rsidRDefault="00000000" w:rsidRPr="00000000" w14:paraId="0000004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Заказчик получает модель, работающую непосредственно на его оборудовании (не облачный сервис). Мы гарантируем корректную работу системы именно на указанном оборудовании.</w:t>
      </w:r>
    </w:p>
    <w:p w:rsidR="00000000" w:rsidDel="00000000" w:rsidP="00000000" w:rsidRDefault="00000000" w:rsidRPr="00000000" w14:paraId="00000047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Условия поставки и стоимость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Предоставляется в рамках данного коммерческого предложения: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Разработка и внедрение решения в инфраструктуру заказчика.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Настройка системы в соответствии с требованиями.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Обучение персонала и техническая поддержка.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Лицензионные условия использования программного обеспечения (при необходимости).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Гарантийный период на систему и оборудование составляет 1 год. При этом сроки ремонта в рамках гарантии не регламентируются – если оборудование выходит из строя, его ремонт может занять различное время в зависимости от загрузки сервисного центра. Если требуется оперативное устранение неисправностей, возможно заключение отдельного контракта на сопровождение.</w:t>
      </w:r>
    </w:p>
    <w:p w:rsidR="00000000" w:rsidDel="00000000" w:rsidP="00000000" w:rsidRDefault="00000000" w:rsidRPr="00000000" w14:paraId="0000004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Стоимость внедрения рассчитывается индивидуально в зависимости от объема интеграции и требуемых доработок.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СТОИМОСТЬ РЕШЕНИЯ СОСТАВЛЯЕТ 12 500 000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Предложение основано на предоставленных заказчиком требованиях.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Окончательная стоимость может измениться в зависимости от изменений объема работ.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Все цены указаны без учета применимых налогов и сборов.</w:t>
      </w:r>
    </w:p>
    <w:p w:rsidR="00000000" w:rsidDel="00000000" w:rsidP="00000000" w:rsidRDefault="00000000" w:rsidRPr="00000000" w14:paraId="00000053">
      <w:pPr>
        <w:spacing w:before="28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-1072994</wp:posOffset>
          </wp:positionH>
          <wp:positionV relativeFrom="paragraph">
            <wp:posOffset>-147318</wp:posOffset>
          </wp:positionV>
          <wp:extent cx="4125073" cy="626400"/>
          <wp:effectExtent b="0" l="0" r="0" t="0"/>
          <wp:wrapNone/>
          <wp:docPr descr="A yellow and black logo&#10;&#10;AI-generated content may be incorrect." id="30" name="image1.png"/>
          <a:graphic>
            <a:graphicData uri="http://schemas.openxmlformats.org/drawingml/2006/picture">
              <pic:pic>
                <pic:nvPicPr>
                  <pic:cNvPr descr="A yellow and black logo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/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ООО «КОРТЕКС»</w:t>
      <w:br w:type="textWrapping"/>
    </w:r>
    <w:r w:rsidDel="00000000" w:rsidR="00000000" w:rsidRPr="00000000">
      <w:rPr>
        <w:rtl w:val="0"/>
      </w:rPr>
      <w:t xml:space="preserve"> 350000, г. Краснодар, ул. Северная, д. 324, 10 этаж</w:t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/>
    </w:pPr>
    <w:hyperlink r:id="rId2">
      <w:r w:rsidDel="00000000" w:rsidR="00000000" w:rsidRPr="00000000">
        <w:rPr>
          <w:color w:val="0563c1"/>
          <w:u w:val="single"/>
          <w:rtl w:val="0"/>
        </w:rPr>
        <w:t xml:space="preserve">www.cx.technology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74DF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4DF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74DF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74DF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74DF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74DF2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74DF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74DF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74DF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4DF2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rsid w:val="00374DF2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rsid w:val="00374DF2"/>
    <w:rPr>
      <w:rFonts w:cstheme="majorBidi" w:eastAsiaTheme="majorEastAsia"/>
      <w:color w:val="2f5496" w:themeColor="accent1" w:themeShade="0000BF"/>
      <w:sz w:val="28"/>
      <w:szCs w:val="28"/>
      <w:lang w:val="ru-RU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4DF2"/>
    <w:rPr>
      <w:rFonts w:cstheme="majorBidi" w:eastAsiaTheme="majorEastAsia"/>
      <w:i w:val="1"/>
      <w:iCs w:val="1"/>
      <w:color w:val="2f5496" w:themeColor="accent1" w:themeShade="0000BF"/>
      <w:lang w:val="ru-RU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4DF2"/>
    <w:rPr>
      <w:rFonts w:cstheme="majorBidi" w:eastAsiaTheme="majorEastAsia"/>
      <w:color w:val="2f5496" w:themeColor="accent1" w:themeShade="0000BF"/>
      <w:lang w:val="ru-RU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4DF2"/>
    <w:rPr>
      <w:rFonts w:cstheme="majorBidi" w:eastAsiaTheme="majorEastAsia"/>
      <w:i w:val="1"/>
      <w:iCs w:val="1"/>
      <w:color w:val="595959" w:themeColor="text1" w:themeTint="0000A6"/>
      <w:lang w:val="ru-RU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74DF2"/>
    <w:rPr>
      <w:rFonts w:cstheme="majorBidi" w:eastAsiaTheme="majorEastAsia"/>
      <w:color w:val="595959" w:themeColor="text1" w:themeTint="0000A6"/>
      <w:lang w:val="ru-RU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74DF2"/>
    <w:rPr>
      <w:rFonts w:cstheme="majorBidi" w:eastAsiaTheme="majorEastAsia"/>
      <w:i w:val="1"/>
      <w:iCs w:val="1"/>
      <w:color w:val="272727" w:themeColor="text1" w:themeTint="0000D8"/>
      <w:lang w:val="ru-RU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74DF2"/>
    <w:rPr>
      <w:rFonts w:cstheme="majorBidi" w:eastAsiaTheme="majorEastAsia"/>
      <w:color w:val="272727" w:themeColor="text1" w:themeTint="0000D8"/>
      <w:lang w:val="ru-RU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74DF2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DF2"/>
    <w:rPr>
      <w:rFonts w:asciiTheme="majorHAnsi" w:cstheme="majorBidi" w:eastAsiaTheme="majorEastAsia" w:hAnsiTheme="majorHAns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74DF2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DF2"/>
    <w:rPr>
      <w:rFonts w:cstheme="majorBidi" w:eastAsiaTheme="majorEastAsia"/>
      <w:color w:val="595959" w:themeColor="text1" w:themeTint="0000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74DF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74DF2"/>
    <w:rPr>
      <w:i w:val="1"/>
      <w:iCs w:val="1"/>
      <w:color w:val="404040" w:themeColor="text1" w:themeTint="0000BF"/>
      <w:lang w:val="ru-RU"/>
    </w:rPr>
  </w:style>
  <w:style w:type="paragraph" w:styleId="ListParagraph">
    <w:name w:val="List Paragraph"/>
    <w:basedOn w:val="Normal"/>
    <w:uiPriority w:val="34"/>
    <w:qFormat w:val="1"/>
    <w:rsid w:val="00374DF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74DF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74DF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DF2"/>
    <w:rPr>
      <w:i w:val="1"/>
      <w:iCs w:val="1"/>
      <w:color w:val="2f5496" w:themeColor="accent1" w:themeShade="0000BF"/>
      <w:lang w:val="ru-RU"/>
    </w:rPr>
  </w:style>
  <w:style w:type="character" w:styleId="IntenseReference">
    <w:name w:val="Intense Reference"/>
    <w:basedOn w:val="DefaultParagraphFont"/>
    <w:uiPriority w:val="32"/>
    <w:qFormat w:val="1"/>
    <w:rsid w:val="00374DF2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374DF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74DF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 w:val="en-CZ"/>
    </w:rPr>
  </w:style>
  <w:style w:type="character" w:styleId="HTMLCode">
    <w:name w:val="HTML Code"/>
    <w:basedOn w:val="DefaultParagraphFont"/>
    <w:uiPriority w:val="99"/>
    <w:semiHidden w:val="1"/>
    <w:unhideWhenUsed w:val="1"/>
    <w:rsid w:val="00374DF2"/>
    <w:rPr>
      <w:rFonts w:ascii="Courier New" w:cs="Courier New" w:eastAsia="Times New Roman" w:hAnsi="Courier New"/>
      <w:sz w:val="20"/>
      <w:szCs w:val="20"/>
    </w:rPr>
  </w:style>
  <w:style w:type="character" w:styleId="overflow-hidden" w:customStyle="1">
    <w:name w:val="overflow-hidden"/>
    <w:basedOn w:val="DefaultParagraphFont"/>
    <w:rsid w:val="00374DF2"/>
  </w:style>
  <w:style w:type="paragraph" w:styleId="Header">
    <w:name w:val="header"/>
    <w:basedOn w:val="Normal"/>
    <w:link w:val="HeaderChar"/>
    <w:uiPriority w:val="99"/>
    <w:unhideWhenUsed w:val="1"/>
    <w:rsid w:val="00B6529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6529C"/>
    <w:rPr>
      <w:lang w:val="ru-RU"/>
    </w:rPr>
  </w:style>
  <w:style w:type="paragraph" w:styleId="Footer">
    <w:name w:val="footer"/>
    <w:basedOn w:val="Normal"/>
    <w:link w:val="FooterChar"/>
    <w:uiPriority w:val="99"/>
    <w:unhideWhenUsed w:val="1"/>
    <w:rsid w:val="00B6529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6529C"/>
    <w:rPr>
      <w:lang w:val="ru-RU"/>
    </w:rPr>
  </w:style>
  <w:style w:type="character" w:styleId="Hyperlink">
    <w:name w:val="Hyperlink"/>
    <w:basedOn w:val="DefaultParagraphFont"/>
    <w:uiPriority w:val="99"/>
    <w:unhideWhenUsed w:val="1"/>
    <w:rsid w:val="00B6529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nl4oMGKzKWU8GOIMvagL4Rt6Q==">CgMxLjA4AHIhMUtCSXJvV2tMd0tFNVd1Y3E5MWw0djlWZDVzaGhDVkE1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2025-03-06T15:40:00Z</dcterms:created>
  <dc:creator>Tanya Korobkina</dc:creator>
</cp:coreProperties>
</file>