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7095</wp:posOffset>
            </wp:positionV>
            <wp:extent cx="4125073" cy="626400"/>
            <wp:effectExtent b="0" l="0" r="0" t="0"/>
            <wp:wrapNone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5073" cy="6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Коммерческое предложение</w:t>
      </w:r>
    </w:p>
    <w:p w:rsidR="00000000" w:rsidDel="00000000" w:rsidP="00000000" w:rsidRDefault="00000000" w:rsidRPr="00000000" w14:paraId="00000007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на поставку программного обеспечения, </w:t>
      </w:r>
      <w:r w:rsidDel="00000000" w:rsidR="00000000" w:rsidRPr="00000000">
        <w:rPr>
          <w:b w:val="1"/>
          <w:sz w:val="56"/>
          <w:szCs w:val="56"/>
          <w:rtl w:val="0"/>
        </w:rPr>
        <w:t xml:space="preserve">пусконаладку</w:t>
      </w:r>
      <w:r w:rsidDel="00000000" w:rsidR="00000000" w:rsidRPr="00000000">
        <w:rPr>
          <w:b w:val="1"/>
          <w:sz w:val="56"/>
          <w:szCs w:val="56"/>
          <w:rtl w:val="0"/>
        </w:rPr>
        <w:t xml:space="preserve">, квалификацию и техническую поддержку хроматографов (ВЭЖХ)</w:t>
      </w:r>
    </w:p>
    <w:p w:rsidR="00000000" w:rsidDel="00000000" w:rsidP="00000000" w:rsidRDefault="00000000" w:rsidRPr="00000000" w14:paraId="00000008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7225"/>
        </w:tabs>
        <w:spacing w:after="0" w:line="240" w:lineRule="auto"/>
        <w:ind w:left="6372" w:right="-42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09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096" w:firstLine="0"/>
        <w:jc w:val="left"/>
        <w:rPr/>
      </w:pPr>
      <w:r w:rsidDel="00000000" w:rsidR="00000000" w:rsidRPr="00000000">
        <w:rPr>
          <w:rtl w:val="0"/>
        </w:rPr>
        <w:t xml:space="preserve">Селищев Д.., Карулин С.</w:t>
        <w:br w:type="textWrapping"/>
        <w:t xml:space="preserve">Ред. 1 от </w:t>
        <w:br w:type="textWrapping"/>
        <w:t xml:space="preserve">10.04.2023 г.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nvzdpju0ohab" w:id="0"/>
      <w:bookmarkEnd w:id="0"/>
      <w:r w:rsidDel="00000000" w:rsidR="00000000" w:rsidRPr="00000000">
        <w:rPr>
          <w:rtl w:val="0"/>
        </w:rPr>
        <w:t xml:space="preserve">Состав и этапы работ, состав лицензий на ПО: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Поставка программного обеспечения (лицензии, подписки на обновления)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Пусконаладка 9 единиц оборудования (систем) с учетом поставленного программного обеспечения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Техническая поддержка на протяжении 365 дней</w:t>
      </w:r>
    </w:p>
    <w:p w:rsidR="00000000" w:rsidDel="00000000" w:rsidP="00000000" w:rsidRDefault="00000000" w:rsidRPr="00000000" w14:paraId="0000001A">
      <w:pPr>
        <w:ind w:firstLine="426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достижения целей</w:t>
      </w:r>
      <w:r w:rsidDel="00000000" w:rsidR="00000000" w:rsidRPr="00000000">
        <w:rPr>
          <w:rtl w:val="0"/>
        </w:rPr>
        <w:t xml:space="preserve">, ООО “Кортекс”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предлагае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свои услуги по поставке программного обеспечения, включая лицензии и подписки на </w:t>
      </w:r>
      <w:r w:rsidDel="00000000" w:rsidR="00000000" w:rsidRPr="00000000">
        <w:rPr>
          <w:rtl w:val="0"/>
        </w:rPr>
        <w:t xml:space="preserve">обновления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9-ти </w:t>
      </w:r>
      <w:r w:rsidDel="00000000" w:rsidR="00000000" w:rsidRPr="00000000">
        <w:rPr>
          <w:rtl w:val="0"/>
        </w:rPr>
        <w:t xml:space="preserve">ВЭЖХ</w:t>
      </w:r>
      <w:r w:rsidDel="00000000" w:rsidR="00000000" w:rsidRPr="00000000">
        <w:rPr>
          <w:rtl w:val="0"/>
        </w:rPr>
        <w:t xml:space="preserve"> (жидкостных хроматографов). Следующий перечень необходимых лицензий и программного обеспечения, требуемого для дальнейшей настройки оборудования:</w:t>
      </w:r>
    </w:p>
    <w:p w:rsidR="00000000" w:rsidDel="00000000" w:rsidP="00000000" w:rsidRDefault="00000000" w:rsidRPr="00000000" w14:paraId="0000001B">
      <w:pPr>
        <w:ind w:firstLine="426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240"/>
        <w:gridCol w:w="1260"/>
        <w:gridCol w:w="2460"/>
        <w:gridCol w:w="1860"/>
        <w:tblGridChange w:id="0">
          <w:tblGrid>
            <w:gridCol w:w="480"/>
            <w:gridCol w:w="3240"/>
            <w:gridCol w:w="1260"/>
            <w:gridCol w:w="24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Артикул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 (</w:t>
            </w:r>
            <w:r w:rsidDel="00000000" w:rsidR="00000000" w:rsidRPr="00000000">
              <w:rPr>
                <w:b w:val="1"/>
                <w:rtl w:val="0"/>
              </w:rPr>
              <w:t xml:space="preserve">дол</w:t>
            </w:r>
            <w:r w:rsidDel="00000000" w:rsidR="00000000" w:rsidRPr="00000000">
              <w:rPr>
                <w:b w:val="1"/>
                <w:rtl w:val="0"/>
              </w:rPr>
              <w:t xml:space="preserve">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Сетевая версия для управления Small Lab Server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LI-2000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11 700,00$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Agilent HPLC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LI-0110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6 500,00$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Connection Type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LI-0003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11 700,00$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Подписка (1 год) на обновления SMA для сервера Small Lab 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LI-2000-SMA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1 170,00$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Подписка (1 год) на обновления Agilent HPLC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LI-0110-SMA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650,00$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240" w:line="276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Итоговая сумма: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31 720,00$</w:t>
            </w:r>
          </w:p>
        </w:tc>
      </w:tr>
    </w:tbl>
    <w:p w:rsidR="00000000" w:rsidDel="00000000" w:rsidP="00000000" w:rsidRDefault="00000000" w:rsidRPr="00000000" w14:paraId="0000003F">
      <w:pPr>
        <w:ind w:firstLine="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Некоторые из программных продуктов, а точнее лицензий для оборудования требуют доработки и окончательной реализации. Минимальный срок поставки лицензий - 4 месяца.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Так же, в рамках данного коммерческого предложения, ООО “Кортекс” предлагает свои услуги связанные с установкой систем, а также дальнейшей удаленной и выездной технической поддержкой оборудования. Перечень услуг приведен в таблице ниже.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330"/>
        <w:gridCol w:w="1980"/>
        <w:gridCol w:w="1980"/>
        <w:gridCol w:w="1965"/>
        <w:tblGridChange w:id="0">
          <w:tblGrid>
            <w:gridCol w:w="615"/>
            <w:gridCol w:w="3330"/>
            <w:gridCol w:w="1980"/>
            <w:gridCol w:w="198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Дни осуществления услуги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 (руб.)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Инсталляция систем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  <w:t xml:space="preserve"> рабочих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780 000,00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Норматив настройки (1 прибор - 2 рабочих дня)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Удаленная тех. поддержка и консультации (10 систем)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365</w:t>
            </w:r>
            <w:r w:rsidDel="00000000" w:rsidR="00000000" w:rsidRPr="00000000">
              <w:rPr>
                <w:rtl w:val="0"/>
              </w:rPr>
              <w:t xml:space="preserve"> рабочих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2 340 000,00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реакции не более чем 24 часа (9:00 - 18:00)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Выездная консультация и техническая 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рабочий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39 000,00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реакции не более чем 24 часа (выезд 3-5 дней)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Стоимость услуг выездных консультаций может варьироваться с учетом затрат приведенных в таблице ниже: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3825"/>
        <w:gridCol w:w="2640"/>
        <w:gridCol w:w="2325"/>
        <w:tblGridChange w:id="0">
          <w:tblGrid>
            <w:gridCol w:w="510"/>
            <w:gridCol w:w="3825"/>
            <w:gridCol w:w="264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b w:val="1"/>
                    <w:rtl w:val="0"/>
                  </w:rPr>
                  <w:t xml:space="preserve">№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затрат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Дни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Сумма (руб.)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Командировка (расстояние от Москвы 0-100 км)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всю командировку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Командировка (расстояние от Москвы 100-200 км)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всю командировку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3900,00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Командировка (расстояние от Москвы 200-500 км)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всю командировку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19 500,00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Командировка (расстояние от Москвы 500-1000 км)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всю командировку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45 500,00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Командировка (расстояние от Москвы 3000-5000 км)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всю командировку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71 500,00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Командировка (расстояние от Москвы &gt; 5000 км)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 всю командировку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91 000,00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240"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Проживание в гостинице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день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24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6500,00</w:t>
            </w:r>
          </w:p>
        </w:tc>
      </w:tr>
    </w:tbl>
    <w:p w:rsidR="00000000" w:rsidDel="00000000" w:rsidP="00000000" w:rsidRDefault="00000000" w:rsidRPr="00000000" w14:paraId="0000007B">
      <w:pPr>
        <w:ind w:lef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Сроки работ: </w:t>
      </w:r>
      <w:r w:rsidDel="00000000" w:rsidR="00000000" w:rsidRPr="00000000">
        <w:rPr>
          <w:rtl w:val="0"/>
        </w:rPr>
        <w:t xml:space="preserve">95</w:t>
      </w:r>
      <w:r w:rsidDel="00000000" w:rsidR="00000000" w:rsidRPr="00000000">
        <w:rPr>
          <w:rtl w:val="0"/>
        </w:rPr>
        <w:t xml:space="preserve"> рабочих дней и период технической поддержки 365 дней (12 месяцев)</w:t>
      </w:r>
    </w:p>
    <w:p w:rsidR="00000000" w:rsidDel="00000000" w:rsidP="00000000" w:rsidRDefault="00000000" w:rsidRPr="00000000" w14:paraId="0000007D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Стоимость работ: </w:t>
      </w:r>
      <w:r w:rsidDel="00000000" w:rsidR="00000000" w:rsidRPr="00000000">
        <w:rPr>
          <w:rtl w:val="0"/>
        </w:rPr>
        <w:t xml:space="preserve">51 220,00$ + 3 120 000 руб.(НДС не предусмотрен). Выездные консультации оцениваются и оплачиваются по факту их проведения. Доллары конвертируются в рубли по курсу ЦБ на день оплаты.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Просим дать контакты для прямого взаимодействия на объекте. В случае, если обучение персонала с данным оборудованием понадобиться, расчет услуг будет идти дополнительно к этому коммерческому предложению.</w:t>
      </w:r>
    </w:p>
    <w:sectPr>
      <w:headerReference r:id="rId8" w:type="default"/>
      <w:headerReference r:id="rId9" w:type="even"/>
      <w:pgSz w:h="16838" w:w="11906" w:orient="portrait"/>
      <w:pgMar w:bottom="1134" w:top="1951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-1072996</wp:posOffset>
          </wp:positionH>
          <wp:positionV relativeFrom="paragraph">
            <wp:posOffset>-147319</wp:posOffset>
          </wp:positionV>
          <wp:extent cx="4125073" cy="626400"/>
          <wp:effectExtent b="0" l="0" r="0" t="0"/>
          <wp:wrapNone/>
          <wp:docPr id="2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125073" cy="626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ООО «КОРТЕКС»</w:t>
      <w:br w:type="textWrapping"/>
    </w:r>
    <w:hyperlink r:id="rId2"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www.cx.technology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1889"/>
      </w:tabs>
      <w:spacing w:after="0" w:before="0" w:line="240" w:lineRule="auto"/>
      <w:ind w:left="0" w:right="0" w:firstLine="0"/>
      <w:jc w:val="left"/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hyperlink r:id="rId3"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www.spellsystems.com</w:t>
      </w:r>
    </w:hyperlink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br w:type="textWrapping"/>
      <w:t xml:space="preserve">350063, г. Краснодар, ул. Пушкина, д. 38</w:t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5500" cy="5935500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-2700000">
                        <a:off x="2554223" y="2384270"/>
                        <a:ext cx="5583555" cy="279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c0c0c0"/>
                              <w:sz w:val="144"/>
                              <w:vertAlign w:val="baseline"/>
                            </w:rPr>
                            <w:t xml:space="preserve">CORTEX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35500" cy="5935500"/>
              <wp:effectExtent b="0" l="0" r="0" t="0"/>
              <wp:wrapNone/>
              <wp:docPr id="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5500" cy="5935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ru-RU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954A8"/>
    <w:pPr>
      <w:jc w:val="both"/>
    </w:pPr>
    <w:rPr>
      <w:rFonts w:ascii="Roboto" w:hAnsi="Roboto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4A8"/>
  </w:style>
  <w:style w:type="paragraph" w:styleId="Footer">
    <w:name w:val="footer"/>
    <w:basedOn w:val="Normal"/>
    <w:link w:val="FooterChar"/>
    <w:uiPriority w:val="99"/>
    <w:unhideWhenUsed w:val="1"/>
    <w:rsid w:val="002954A8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4A8"/>
  </w:style>
  <w:style w:type="paragraph" w:styleId="ListParagraph">
    <w:name w:val="List Paragraph"/>
    <w:basedOn w:val="Normal"/>
    <w:link w:val="ListParagraphChar"/>
    <w:uiPriority w:val="34"/>
    <w:qFormat w:val="1"/>
    <w:rsid w:val="002954A8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2954A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2954A8"/>
    <w:rPr>
      <w:color w:val="0563c1" w:themeColor="hyperlink"/>
      <w:u w:val="single"/>
    </w:rPr>
  </w:style>
  <w:style w:type="paragraph" w:styleId="ql-indent-2" w:customStyle="1">
    <w:name w:val="ql-indent-2"/>
    <w:basedOn w:val="Normal"/>
    <w:link w:val="ql-indent-20"/>
    <w:rsid w:val="002954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paragraph" w:styleId="BodyText">
    <w:name w:val="Body Text"/>
    <w:basedOn w:val="Normal"/>
    <w:link w:val="BodyTextChar"/>
    <w:rsid w:val="002954A8"/>
    <w:pPr>
      <w:suppressAutoHyphens w:val="1"/>
      <w:spacing w:after="140" w:line="276" w:lineRule="auto"/>
      <w:jc w:val="left"/>
    </w:pPr>
    <w:rPr>
      <w:rFonts w:ascii="Liberation Serif" w:cs="FreeSans" w:eastAsia="Noto Serif CJK SC" w:hAnsi="Liberation Serif"/>
      <w:kern w:val="2"/>
      <w:szCs w:val="24"/>
      <w:lang w:bidi="hi-IN" w:eastAsia="zh-CN" w:val="en-US"/>
    </w:rPr>
  </w:style>
  <w:style w:type="character" w:styleId="BodyTextChar" w:customStyle="1">
    <w:name w:val="Body Text Char"/>
    <w:basedOn w:val="DefaultParagraphFont"/>
    <w:link w:val="BodyText"/>
    <w:rsid w:val="002954A8"/>
    <w:rPr>
      <w:rFonts w:ascii="Liberation Serif" w:cs="FreeSans" w:eastAsia="Noto Serif CJK SC" w:hAnsi="Liberation Serif"/>
      <w:kern w:val="2"/>
      <w:sz w:val="24"/>
      <w:szCs w:val="24"/>
      <w:lang w:bidi="hi-IN" w:eastAsia="zh-CN" w:val="en-US"/>
    </w:rPr>
  </w:style>
  <w:style w:type="paragraph" w:styleId="Subtitle">
    <w:name w:val="Subtitle"/>
    <w:basedOn w:val="Normal"/>
    <w:next w:val="BodyText"/>
    <w:link w:val="SubtitleChar"/>
    <w:uiPriority w:val="11"/>
    <w:qFormat w:val="1"/>
    <w:rsid w:val="002954A8"/>
    <w:pPr>
      <w:keepNext w:val="1"/>
      <w:suppressAutoHyphens w:val="1"/>
      <w:spacing w:after="120" w:before="60" w:line="240" w:lineRule="auto"/>
      <w:jc w:val="center"/>
    </w:pPr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002954A8"/>
    <w:rPr>
      <w:rFonts w:ascii="Liberation Sans" w:cs="FreeSans" w:eastAsia="Noto Sans CJK SC" w:hAnsi="Liberation Sans"/>
      <w:kern w:val="2"/>
      <w:sz w:val="36"/>
      <w:szCs w:val="36"/>
      <w:lang w:bidi="hi-IN" w:eastAsia="zh-CN" w:val="en-US"/>
    </w:rPr>
  </w:style>
  <w:style w:type="character" w:styleId="ql-indent-20" w:customStyle="1">
    <w:name w:val="ql-indent-2 Знак"/>
    <w:basedOn w:val="DefaultParagraphFont"/>
    <w:link w:val="ql-indent-2"/>
    <w:rsid w:val="002954A8"/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607E1"/>
    <w:rPr>
      <w:rFonts w:ascii="Roboto" w:hAnsi="Roboto"/>
      <w:sz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177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spacing w:after="120" w:before="60" w:line="24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cx.technology" TargetMode="External"/><Relationship Id="rId3" Type="http://schemas.openxmlformats.org/officeDocument/2006/relationships/hyperlink" Target="http://www.spellsystems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pPXoF3sUZ7eqwFThQDh8LRbk2A==">CgMxLjAaFgoBMBIRCg8IB0ILEglOb3ZhIE1vbm8aFgoBMRIRCg8IB0ILEglOb3ZhIE1vbm8aFgoBMhIRCg8IB0ILEglOb3ZhIE1vbm8yDmgubnZ6ZHBqdTBvaGFiOAByITF0YjFHVF92ZDNIWkg1NlBhZmlodlN1NWhfMmhjOVFGNA==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2023-02-15T13:41:00Z</dcterms:created>
  <dc:creator>admin</dc:creator>
</cp:coreProperties>
</file>