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24960" cy="62611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626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left"/>
        <w:rPr>
          <w:b w:val="1"/>
          <w:color w:val="d8262c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Коммерческое предложение на разработку MVP </w:t>
        <w:br w:type="textWrapping"/>
      </w:r>
      <w:r w:rsidDel="00000000" w:rsidR="00000000" w:rsidRPr="00000000">
        <w:rPr>
          <w:b w:val="1"/>
          <w:color w:val="d8262c"/>
          <w:sz w:val="44"/>
          <w:szCs w:val="44"/>
          <w:rtl w:val="0"/>
        </w:rPr>
        <w:t xml:space="preserve">инвестиционной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color w:val="d8262c"/>
          <w:sz w:val="44"/>
          <w:szCs w:val="44"/>
          <w:rtl w:val="0"/>
        </w:rPr>
        <w:t xml:space="preserve">платформы - аналога </w:t>
      </w:r>
      <w:r w:rsidDel="00000000" w:rsidR="00000000" w:rsidRPr="00000000">
        <w:rPr>
          <w:b w:val="1"/>
          <w:color w:val="d8262c"/>
          <w:sz w:val="44"/>
          <w:szCs w:val="44"/>
          <w:rtl w:val="0"/>
        </w:rPr>
        <w:t xml:space="preserve">JetLend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225"/>
        </w:tabs>
        <w:spacing w:after="0" w:line="240" w:lineRule="auto"/>
        <w:ind w:left="0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0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225"/>
        </w:tabs>
        <w:spacing w:after="0" w:line="240" w:lineRule="auto"/>
        <w:ind w:left="0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225"/>
        </w:tabs>
        <w:spacing w:after="0" w:line="240" w:lineRule="auto"/>
        <w:ind w:left="5811.023622047243" w:right="-426" w:firstLine="0"/>
        <w:jc w:val="left"/>
        <w:rPr/>
      </w:pPr>
      <w:r w:rsidDel="00000000" w:rsidR="00000000" w:rsidRPr="00000000">
        <w:rPr>
          <w:rtl w:val="0"/>
        </w:rPr>
        <w:t xml:space="preserve">Авторы:</w:t>
        <w:br w:type="textWrapping"/>
        <w:t xml:space="preserve">Воловодова М., Недашковский З.</w:t>
        <w:br w:type="textWrapping"/>
        <w:t xml:space="preserve">Ред. 1 от </w:t>
        <w:br w:type="textWrapping"/>
        <w:t xml:space="preserve">14.03.2024 г.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a1uuqhdhun7h" w:id="0"/>
      <w:bookmarkEnd w:id="0"/>
      <w:r w:rsidDel="00000000" w:rsidR="00000000" w:rsidRPr="00000000">
        <w:rPr>
          <w:rtl w:val="0"/>
        </w:rPr>
        <w:t xml:space="preserve">Концепция MVP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После проведения анализа функциональности платформы JetLend (с отчетом об анализе можно ознакомиться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) было принято решение выделить часть функций для MVP инвестиционной платформы (MVP, Minimum Viable Product - </w:t>
      </w:r>
      <w:r w:rsidDel="00000000" w:rsidR="00000000" w:rsidRPr="00000000">
        <w:rPr>
          <w:rtl w:val="0"/>
        </w:rPr>
        <w:t xml:space="preserve">минимально жизнеспособный продукт</w:t>
      </w:r>
      <w:r w:rsidDel="00000000" w:rsidR="00000000" w:rsidRPr="00000000">
        <w:rPr>
          <w:rtl w:val="0"/>
        </w:rPr>
        <w:t xml:space="preserve">) с прицелом на дальнейшее развитие продукта до полноценного решения, не уступающего по техническим характеристикам ведущим игрокам рынка. Первая версия инвестиционной платформы планируется для представления существующей лояльной базе клиентов Заказчика и для подготовки последующих раундов инвестиций.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Выделяются личные кабинеты для трех типов пользователей: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Заемщик.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Инвестор.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Далее приводится набор функций в разрезе личных кабинетов.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2khzvzj0d1m1" w:id="1"/>
      <w:bookmarkEnd w:id="1"/>
      <w:r w:rsidDel="00000000" w:rsidR="00000000" w:rsidRPr="00000000">
        <w:rPr>
          <w:rtl w:val="0"/>
        </w:rPr>
        <w:t xml:space="preserve">Личный кабинет заемщика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Заемщик – юридическое лицо, привлекающее средства для развития компании через инвестиционную платформу.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Функции личного кабинета: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в платформе. Регистрация осуществляется с помощью номера мобильного телефона, подтвержденного кодом из смс. После подтверждения номера телефона пользователь придумывает пароль и дальнейший вход осуществляется с помощью номера телефона в качестве логина и пароля.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Подача заявки на открытие сбора средств (получение кредита):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Внесение информации о юридическом лице.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банковской выписки (загрузка файла с компьютера или отправка почтой из банк-клиента).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предварительного одобрения и условий кредита. После предоставления данных о компании администратор в личном кабинете вручную присваивает то или иное значение скоринга, а также указывает на каких условиях может быть выдан займ (максимальная сумма и срок, процент).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Кредитный калькулятор. Перед подтверждением заявки заемщик видит сумму к уплате, размер тела кредита, размер процентов и ставки, а также график платежей.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заявки. В случае, если заемщик согласен с предоставленными условиями, он подтверждает заявку, указав требуемые условия в рамках лимита.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Подпись контракта (договор оферты) между платформой и заемщиком с использованием ЭЦП.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Размещение кредита на платформе. После подписи договора, займ считается открытым и начинает участвовать в алгоритме авто инвестирования. Авто Инвестирование  означает, что платформа автоматизированным способом сопоставляет средства и стратегию инвесторов платформы с займом, и определяет с какой долей входит в займ тот или иной инвестор.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прогресса сбора средств.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истории заявок.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и общей задолженности.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информации о кредите: график и статус платежей.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событий.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 и выгрузки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Выгрузка первичных данных об инвесторах для дальнейшей подачи НДФЛ.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Личные данные.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Банковские реквизиты.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Смена пароля.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Контакты техподдержки.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41lxy0uk3j2d" w:id="2"/>
      <w:bookmarkEnd w:id="2"/>
      <w:r w:rsidDel="00000000" w:rsidR="00000000" w:rsidRPr="00000000">
        <w:rPr>
          <w:rtl w:val="0"/>
        </w:rPr>
        <w:t xml:space="preserve">Личный кабинет инвестора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Инвестор – физическое или юридическое лицо, предоставляющее собственные средства в виде кредита заемщику с последующим регулярным получением процентов.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Функции личного кабинета: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в платформе. Аналогично регистрации и авторизации заемщика.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Идентификация. Загрузка документов физического или юридического лица. Загруженные документы проверяются с помощью стороннего сервиса, и в случае одобрения, происходит автоматическая идентификация пользователя. После идентификации инвестору становятся доступны функции пополнения счета и участия в авто инвестировании.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Пополнение счета с использованием банковской карты и СБП.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Автоинвестирование: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стратегии. От стратегии будет зависеть доля активов с более высоким риском в портфеле пользователя. Чем консервативней стратегия, тем меньше активов с высоким риском. Риски компании присваивает администратор платформы вручную в личном кабинете.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автоматическом алгоритме авто инвестирования. После пополнения баланса весь доступный баланс участвует в авто инвестировании и при появлении на платформе нового займа, инвестор автоматически становится займодадетелем при условии что соблюдены условия стратегии (риск компании соответствует профилю инвестора).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событий (пополнение счета, вывод средств, выдача займа, дефолт, платеж по займу, возврат займа и прочие).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Портфель. Отображает список займов инвестора, по каждому информация о займе и доле инвестора, информация о заемщике, график платежей, договор оферты и иные документы.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средств: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для пользователя, позволяющая/запрещающая автоматически распределять возврат займа или уплаченные проценты по новым кредитам. Если тело займа возвращено, и нет его автоматического распределения по новым кредитам, пользователь может выводить средства.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заявки на вывод с указанием банковских реквизитов.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настроек: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Личные данные.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Банковские реквизиты.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автоинвестирования (выбор стратегии).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Смена пароля.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Контакты техподдержки.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Дашборды: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Доходность.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Поступления.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b8a7qj3o6ni" w:id="3"/>
      <w:bookmarkEnd w:id="3"/>
      <w:r w:rsidDel="00000000" w:rsidR="00000000" w:rsidRPr="00000000">
        <w:rPr>
          <w:rtl w:val="0"/>
        </w:rPr>
        <w:t xml:space="preserve">Личный кабинет администратора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Сотрудник компании Заказчика, осуществляющий управление и контроль за процессом выдачи кредитов на платформе. Возможно разбиение роли администратора на несколько различных ролей с разграничением доступа к тому или иному функционалу (н-р, риск-менеджер, технический администратор и т.д.)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пользователями. Добавление/обновление/блокировка доступа сотрудников организации.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заемщиками.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и подробной информации, предоставленной заемщиком при подаче заявки.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результатов автоматизированных запросов по заемщику в третьи сервисы.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значения скоринга и/или риска по заемщику.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определения условий выдачи кредита (максимальный лимит и срок, процентная ставка).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утверждение или отклонение заявки на выдачу кредита.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кредитов, всей информации по ним, графика платежей, списка инвесторов.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Отметка о дефолте заемщика с последующим уведомлением инвесторов  о дальнейших шагах.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инвесторами.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инвесторов с детальной информацией по ним.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Ручная загрузка документов инвестора, одобрение или отклонение верификации (для вип-клиентов, не желающих работать в платформе самостоятельно).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уплатой процентов и тела кредита: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Отметка о сумме процентов и уплате кредита. После отметки в системе следует автоматическое распределение средств между инвесторами согласно занимаемой доле в кредите. По итогу инвестор увидит полученные средства на своем счете.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лога системы – все события инвесторов и заемщиков, а также действия администраторов.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Выгрузка списка заемщиков и инвесторов с персональными данными.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прибылях и убытках за период. Прибыль складывается из комиссии платформы с каждого платежа заемщика.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yc289ya5n0ho" w:id="4"/>
      <w:bookmarkEnd w:id="4"/>
      <w:r w:rsidDel="00000000" w:rsidR="00000000" w:rsidRPr="00000000">
        <w:rPr>
          <w:rtl w:val="0"/>
        </w:rPr>
        <w:t xml:space="preserve">Интеграции с внешними системами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провайдер.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 ЭЦП.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ЕГРИП/ЕГРЮЛ открытые данные. Один сервис на выбор.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проверки контрагентов. Один сервис на выбор.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проверки паспортных данных. Один сервис на выбор.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Кредитное бюро. Один сервис на выбор.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для оплаты банковской картой и СБП (нужен для пополнения счета инвестором).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MVP </w:t>
      </w:r>
      <w:r w:rsidDel="00000000" w:rsidR="00000000" w:rsidRPr="00000000">
        <w:rPr>
          <w:b w:val="1"/>
          <w:u w:val="single"/>
          <w:rtl w:val="0"/>
        </w:rPr>
        <w:t xml:space="preserve">не входят</w:t>
      </w:r>
      <w:r w:rsidDel="00000000" w:rsidR="00000000" w:rsidRPr="00000000">
        <w:rPr>
          <w:rtl w:val="0"/>
        </w:rPr>
        <w:t xml:space="preserve"> следующие функции: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Автоматизированная скоринг система. В рамках MVP рейтинги заемщика присваиваются вручную администратором в личном кабинете.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Механизм открытия и управления кредитной линией, в рамках которой заемщик может запросить более одного сбора инвесторских средств (транша).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Первичный и вторичный рынок. В рамках MVP средства инвестора будут распределены по займам автоматически, и не предусматривается ручной выбор займа для инвестирования.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Автоматизация коммуникации между заемщиком и платформой. Видеоинтервью, проверка и прочее взаимодействие происходит вне платформы, посредством связи через телефон и емейл, предоставленный во время регистрации и подачи заявки.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Управление дефолтами.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Кешбек, бонусная система, реферальная программа.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Досрочное погашение займа.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Расчет и учет в механизме скоринга финансовой дисциплины.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Ручная настройка инвестором параметров автоинвестирования.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Опция сейф и другие механизмы функционального разделения счета инвестора.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Интеграции: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Интеграция с банком Заказчика для автоматического перевода средств на счет заемщика, получения информации о новом платеже заемщика и других действий, связанных с движениями средств клиентов.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Интеграция с банк клиентами для получения банковских выписок.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Интеграция с более чем одним источником проверки контрагентов.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Интеграция с более чем одним кредитным бюро.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Интеграция с более чем одним источником данных ЕГРИП/ЕГРЮЛ..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личный кабинет партнера, партнерская программа.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мобильное приложение для инвестора/заемщика (Android, iOs).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тарифные планы.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квалификационные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nc7x7pc5hwl4" w:id="5"/>
      <w:bookmarkEnd w:id="5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 конечном итоге Заказчик получает: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Полноценное работающее веб-приложение, запущенное на продуктивных серверах, с функциональностью в объеме, описанном в текущем разделе.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Настроенная среда для разработчиков и тестировщиков, состоящая из трех непересекающихся контуров (версий системы): DEV – версия для разработчиков, STAGING – версия для предпродуктивного тестирования, PRODUCTION – финальная версия, с которой работают клиенты, а также настроенные и автоматизированные процессы доставки программного обеспечения до каждого из контуров (CI/CD).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Исходный код, размещенный в репозитории Заказчика.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для devOps по развертыванию и поддержанию системы в работоспособном состоянии, документация для администраторов по администрированию системы.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Интеллектуальная собственность передается Заказчику.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Исходные файлы дизайна платформы.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hfiwmj6b6uoh" w:id="6"/>
      <w:bookmarkEnd w:id="6"/>
      <w:r w:rsidDel="00000000" w:rsidR="00000000" w:rsidRPr="00000000">
        <w:rPr>
          <w:rtl w:val="0"/>
        </w:rPr>
        <w:t xml:space="preserve">Состав команды разработки MVP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Для разработки МВП платформы - аналога JetLend будет сформирована команда из штата Кортекс в составе: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Team Lead / backend developer – 1 (полная занятость);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developer – </w:t>
      </w:r>
      <w:r w:rsidDel="00000000" w:rsidR="00000000" w:rsidRPr="00000000">
        <w:rPr>
          <w:rtl w:val="0"/>
        </w:rPr>
        <w:t xml:space="preserve"> 1 (полная занятость);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Frontend developer – </w:t>
      </w:r>
      <w:r w:rsidDel="00000000" w:rsidR="00000000" w:rsidRPr="00000000">
        <w:rPr>
          <w:rtl w:val="0"/>
        </w:rPr>
        <w:t xml:space="preserve">1 (полная занятость);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Тестировщик – 1 (частичная занятость);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UI/UX дизайнер</w:t>
      </w:r>
      <w:r w:rsidDel="00000000" w:rsidR="00000000" w:rsidRPr="00000000">
        <w:rPr>
          <w:rtl w:val="0"/>
        </w:rPr>
        <w:t xml:space="preserve"> – 1 (частичная занятость);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devOps инженер – 1 (частичная занятость);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Руководитель проекта – 1 (частичная занятость);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1 (частичная занятость).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Для выполнения работ проекта помимо штата компании Кортекс будет привлечен отдельный человек на позицию UI/UX lead на контрактную работу. </w:t>
      </w:r>
    </w:p>
    <w:p w:rsidR="00000000" w:rsidDel="00000000" w:rsidP="00000000" w:rsidRDefault="00000000" w:rsidRPr="00000000" w14:paraId="00000090">
      <w:pPr>
        <w:pStyle w:val="Heading1"/>
        <w:spacing w:after="0" w:lineRule="auto"/>
        <w:rPr/>
      </w:pPr>
      <w:bookmarkStart w:colFirst="0" w:colLast="0" w:name="_heading=h.mpoctlirzbcd" w:id="7"/>
      <w:bookmarkEnd w:id="7"/>
      <w:r w:rsidDel="00000000" w:rsidR="00000000" w:rsidRPr="00000000">
        <w:rPr>
          <w:rtl w:val="0"/>
        </w:rPr>
        <w:t xml:space="preserve">Консалтинговые услуги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Параллельно с разработкой первой версии инвестиционной платформы мы предлагаем услуги консалтинга, включающие в себя подбор и найм собственной  IT  команды в штат Заказчика, передача ее участникам культуры, лучших практик разработки и компетенции, полученной в результате работы над первой версией. Новая команда в дальнейшем сможет развивать продукт для последующих раундов инвестиций и выхода на широкий рынок.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Мы подберем 7-10 человек. Затраты на содержание, в том числе зарплату, нанятых таким образом разработчиков будет лежать в зоне ответственности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bth27rfycnmw" w:id="8"/>
      <w:bookmarkEnd w:id="8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3pobcg80exy5" w:id="9"/>
      <w:bookmarkEnd w:id="9"/>
      <w:r w:rsidDel="00000000" w:rsidR="00000000" w:rsidRPr="00000000">
        <w:rPr>
          <w:rtl w:val="0"/>
        </w:rPr>
        <w:t xml:space="preserve">Стоимость и срок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30"/>
        <w:gridCol w:w="1560"/>
        <w:gridCol w:w="2070"/>
        <w:tblGridChange w:id="0">
          <w:tblGrid>
            <w:gridCol w:w="540"/>
            <w:gridCol w:w="5130"/>
            <w:gridCol w:w="156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18"/>
                    <w:szCs w:val="18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Срок, мес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Стоимость, 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MVP инвестиционной платформы – аналога JetLend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16 192 000, 00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Услуги внешнего подрядчика на позиции UI/UX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500 000,00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Консалтинговые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1 196 800, 00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17 888 800,00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В стоимость входят все затраты, связанные с разработкой платформы - заработная плата команды проекта, стоимость работ внешних подрядчиков, налоги, оборудование, используемое в разработке.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 стоимость не входит оплата услуг третьих систем, предоставляющих различные сервисы и данные посредством API на платной основе, такие как паспортные данные, проверка контрагентов, сведения из открытых источников и пр, стоимость отправки SMS сообщений, оплата услуг поставщиков серверного или облачного оборудования для размещения продуктивной, пре-продуктивной и разработческой версий платформы.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60" w:top="1890" w:left="1440" w:right="1133" w:header="450" w:footer="29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53975</wp:posOffset>
          </wp:positionV>
          <wp:extent cx="2233613" cy="340458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3613" cy="3404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096"/>
      <w:gridCol w:w="2229"/>
      <w:tblGridChange w:id="0">
        <w:tblGrid>
          <w:gridCol w:w="7096"/>
          <w:gridCol w:w="22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tabs>
              <w:tab w:val="center" w:leader="none" w:pos="4677"/>
              <w:tab w:val="right" w:leader="none" w:pos="9355"/>
              <w:tab w:val="left" w:leader="none" w:pos="1889"/>
            </w:tabs>
            <w:spacing w:after="0" w:line="24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ООО «КОРТЕКС»</w:t>
            <w:br w:type="textWrapping"/>
          </w:r>
          <w:hyperlink r:id="rId2">
            <w:r w:rsidDel="00000000" w:rsidR="00000000" w:rsidRPr="00000000">
              <w:rPr>
                <w:sz w:val="18"/>
                <w:szCs w:val="18"/>
                <w:rtl w:val="0"/>
              </w:rPr>
              <w:t xml:space="preserve">www.cx.technology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center" w:leader="none" w:pos="4677"/>
              <w:tab w:val="right" w:leader="none" w:pos="9355"/>
              <w:tab w:val="left" w:leader="none" w:pos="1889"/>
            </w:tabs>
            <w:spacing w:after="0" w:line="240" w:lineRule="auto"/>
            <w:jc w:val="right"/>
            <w:rPr>
              <w:sz w:val="15"/>
              <w:szCs w:val="15"/>
            </w:rPr>
          </w:pPr>
          <w:hyperlink r:id="rId3">
            <w:r w:rsidDel="00000000" w:rsidR="00000000" w:rsidRPr="00000000">
              <w:rPr>
                <w:sz w:val="18"/>
                <w:szCs w:val="18"/>
                <w:rtl w:val="0"/>
              </w:rPr>
              <w:t xml:space="preserve">www.spellsystems.com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 xml:space="preserve"> </w:t>
            <w:br w:type="textWrapping"/>
            <w:t xml:space="preserve">350063, г. Краснодар, ул. Пушкина, д. 38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b w:val="1"/>
      <w:color w:val="d826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d8262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b w:val="1"/>
      <w:color w:val="d826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d8262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  <w:qFormat w:val="1"/>
    <w:rsid w:val="005B1F48"/>
    <w:pPr>
      <w:spacing w:after="160" w:line="259" w:lineRule="auto"/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49B9"/>
    <w:pPr>
      <w:keepNext w:val="1"/>
      <w:keepLines w:val="1"/>
      <w:spacing w:after="240" w:before="360"/>
      <w:outlineLvl w:val="0"/>
    </w:pPr>
    <w:rPr>
      <w:rFonts w:cstheme="majorBidi" w:eastAsiaTheme="majorEastAsia"/>
      <w:b w:val="1"/>
      <w:color w:val="d8262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B49B9"/>
    <w:pPr>
      <w:keepNext w:val="1"/>
      <w:keepLines w:val="1"/>
      <w:spacing w:after="120" w:before="240"/>
      <w:outlineLvl w:val="1"/>
    </w:pPr>
    <w:rPr>
      <w:rFonts w:asciiTheme="majorHAnsi" w:cstheme="majorBidi" w:eastAsiaTheme="majorEastAsia" w:hAnsiTheme="majorHAnsi"/>
      <w:b w:val="1"/>
      <w:color w:val="d8262c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  <w:qFormat w:val="1"/>
    <w:rsid w:val="00417771"/>
  </w:style>
  <w:style w:type="character" w:styleId="FooterChar" w:customStyle="1">
    <w:name w:val="Footer Char"/>
    <w:basedOn w:val="DefaultParagraphFont"/>
    <w:link w:val="Footer"/>
    <w:uiPriority w:val="99"/>
    <w:qFormat w:val="1"/>
    <w:rsid w:val="00417771"/>
  </w:style>
  <w:style w:type="character" w:styleId="-" w:customStyle="1">
    <w:name w:val="Интернет-ссылка"/>
    <w:basedOn w:val="DefaultParagraphFont"/>
    <w:uiPriority w:val="99"/>
    <w:unhideWhenUsed w:val="1"/>
    <w:rsid w:val="001D108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sid w:val="001D108D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5B1F48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DB49B9"/>
    <w:rPr>
      <w:rFonts w:ascii="Roboto" w:hAnsi="Roboto" w:cstheme="majorBidi" w:eastAsiaTheme="majorEastAsia"/>
      <w:b w:val="1"/>
      <w:color w:val="d8262c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DB49B9"/>
    <w:rPr>
      <w:rFonts w:asciiTheme="majorHAnsi" w:cstheme="majorBidi" w:eastAsiaTheme="majorEastAsia" w:hAnsiTheme="majorHAnsi"/>
      <w:b w:val="1"/>
      <w:color w:val="d8262c"/>
      <w:sz w:val="32"/>
      <w:szCs w:val="26"/>
    </w:rPr>
  </w:style>
  <w:style w:type="character" w:styleId="a" w:customStyle="1">
    <w:name w:val="Посещённая гиперссылка"/>
    <w:basedOn w:val="DefaultParagraphFont"/>
    <w:uiPriority w:val="99"/>
    <w:semiHidden w:val="1"/>
    <w:unhideWhenUsed w:val="1"/>
    <w:rsid w:val="0007199B"/>
    <w:rPr>
      <w:color w:val="954f72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 w:val="1"/>
    <w:rsid w:val="001A32C2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1A32C2"/>
    <w:rPr>
      <w:rFonts w:ascii="Liberation Sans" w:cs="FreeSans" w:eastAsia="Noto Sans CJK SC" w:hAnsi="Liberation Sans"/>
      <w:b w:val="1"/>
      <w:bCs w:val="1"/>
      <w:kern w:val="2"/>
      <w:sz w:val="56"/>
      <w:szCs w:val="56"/>
      <w:lang w:bidi="hi-IN" w:eastAsia="zh-CN" w:val="en-US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1A32C2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41188C"/>
    <w:rPr>
      <w:rFonts w:ascii="Segoe UI" w:cs="Segoe UI" w:hAnsi="Segoe UI"/>
      <w:sz w:val="18"/>
      <w:szCs w:val="18"/>
    </w:rPr>
  </w:style>
  <w:style w:type="character" w:styleId="ql-indent-2" w:customStyle="1">
    <w:name w:val="ql-indent-2 Знак"/>
    <w:basedOn w:val="DefaultParagraphFont"/>
    <w:link w:val="ql-indent-20"/>
    <w:qFormat w:val="1"/>
    <w:rsid w:val="00AE2220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1" w:customStyle="1">
    <w:name w:val="Неразрешенное упоминание1"/>
    <w:basedOn w:val="DefaultParagraphFont"/>
    <w:uiPriority w:val="99"/>
    <w:semiHidden w:val="1"/>
    <w:unhideWhenUsed w:val="1"/>
    <w:qFormat w:val="1"/>
    <w:rsid w:val="00174EB5"/>
    <w:rPr>
      <w:color w:val="605e5c"/>
      <w:shd w:color="auto" w:fill="e1dfdd" w:val="clear"/>
    </w:rPr>
  </w:style>
  <w:style w:type="paragraph" w:styleId="Title">
    <w:name w:val="Title"/>
    <w:basedOn w:val="Normal"/>
    <w:next w:val="BodyText"/>
    <w:link w:val="TitleChar"/>
    <w:uiPriority w:val="10"/>
    <w:qFormat w:val="1"/>
    <w:rsid w:val="001A32C2"/>
    <w:pPr>
      <w:keepNext w:val="1"/>
      <w:spacing w:after="120" w:before="240" w:line="240" w:lineRule="auto"/>
      <w:jc w:val="center"/>
    </w:pPr>
    <w:rPr>
      <w:rFonts w:ascii="Liberation Sans" w:cs="FreeSans" w:eastAsia="Noto Sans CJK SC" w:hAnsi="Liberation Sans"/>
      <w:b w:val="1"/>
      <w:bCs w:val="1"/>
      <w:kern w:val="2"/>
      <w:sz w:val="56"/>
      <w:szCs w:val="56"/>
      <w:lang w:bidi="hi-IN" w:eastAsia="zh-CN" w:val="en-US"/>
    </w:rPr>
  </w:style>
  <w:style w:type="paragraph" w:styleId="BodyText">
    <w:name w:val="Body Text"/>
    <w:basedOn w:val="Normal"/>
    <w:link w:val="BodyTextChar"/>
    <w:rsid w:val="001A32C2"/>
    <w:pPr>
      <w:spacing w:after="140" w:line="276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2725A"/>
    <w:pPr>
      <w:spacing w:after="200" w:line="240" w:lineRule="auto"/>
      <w:jc w:val="left"/>
    </w:pPr>
    <w:rPr>
      <w:rFonts w:asciiTheme="minorHAnsi" w:hAnsiTheme="minorHAnsi"/>
      <w:i w:val="1"/>
      <w:iCs w:val="1"/>
      <w:color w:val="44546a" w:themeColor="text2"/>
      <w:sz w:val="18"/>
      <w:szCs w:val="18"/>
    </w:rPr>
  </w:style>
  <w:style w:type="paragraph" w:styleId="IndexHeading">
    <w:name w:val="index heading"/>
    <w:basedOn w:val="Normal"/>
    <w:qFormat w:val="1"/>
    <w:pPr>
      <w:suppressLineNumbers w:val="1"/>
    </w:pPr>
    <w:rPr>
      <w:rFonts w:cs="Lucida Sans"/>
    </w:rPr>
  </w:style>
  <w:style w:type="paragraph" w:styleId="ListParagraph">
    <w:name w:val="List Paragraph"/>
    <w:basedOn w:val="Normal"/>
    <w:uiPriority w:val="34"/>
    <w:qFormat w:val="1"/>
    <w:rsid w:val="00444307"/>
    <w:pPr>
      <w:ind w:left="720"/>
      <w:contextualSpacing w:val="1"/>
    </w:pPr>
  </w:style>
  <w:style w:type="paragraph" w:styleId="a0" w:customStyle="1">
    <w:name w:val="Колонтитул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417771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417771"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5B1F48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ql-indent-1" w:customStyle="1">
    <w:name w:val="ql-indent-1"/>
    <w:basedOn w:val="Normal"/>
    <w:qFormat w:val="1"/>
    <w:rsid w:val="005B1F48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ql-indent-20" w:customStyle="1">
    <w:name w:val="ql-indent-2"/>
    <w:basedOn w:val="Normal"/>
    <w:link w:val="ql-indent-2"/>
    <w:qFormat w:val="1"/>
    <w:rsid w:val="005B1F48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1A32C2"/>
    <w:pPr>
      <w:keepNext w:val="1"/>
      <w:spacing w:after="120" w:before="60" w:line="240" w:lineRule="auto"/>
      <w:jc w:val="center"/>
    </w:pPr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paragraph" w:styleId="a1" w:customStyle="1">
    <w:name w:val="Содержимое таблицы"/>
    <w:basedOn w:val="Normal"/>
    <w:qFormat w:val="1"/>
    <w:rsid w:val="001A32C2"/>
    <w:pPr>
      <w:widowControl w:val="0"/>
      <w:suppressLineNumbers w:val="1"/>
      <w:spacing w:after="0" w:line="240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41188C"/>
    <w:pPr>
      <w:spacing w:after="0" w:line="240" w:lineRule="auto"/>
    </w:pPr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05F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7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64B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u/1/d/1RkUMyHrSXn7m0ozcI46js9bCCPv2MjeIbk0JnBRon3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/" TargetMode="External"/><Relationship Id="rId3" Type="http://schemas.openxmlformats.org/officeDocument/2006/relationships/hyperlink" Target="http://www.spellsystem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UaTh99S20dSVdJg5zt7JAj2aw==">CgMxLjAaFgoBMBIRCg8IB0ILEglOb3ZhIE1vbm8yDmguYTF1dXFoZGh1bjdoMg5oLjJraHp2emowZDFtMTIOaC40MWx4eTB1azNqMmQyDWguYjhhN3FqM282bmkyDmgueWMyODl5YTVuMGhvMg5oLm5jN3g3cGM1aHdsNDIOaC5oZml3bWo2YjZ1b2gyDmgubXBvY3RsaXJ6YmNkMg5oLmJ0aDI3cmZ5Y25tdzIOaC4zcG9iY2c4MGV4eTU4AHIhMUtEdUtXcDF3bTNYU3RsdEE5eHNxR0ZScGJ0b2RwMm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2023-02-28T11:20:00Z</dcterms:created>
  <dc:creator>Sergey Karulin</dc:creator>
</cp:coreProperties>
</file>