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Настоящий Публичный договор (далее именуемый по тексту «Договор»), определяет порядок оказания услуг, а также взаимные права, обязанности и порядок взаимоотношений между Индивидуальным предпринимателем Граховской Эльвирой Тахировной (далее - Исполнитель), с одной стороны, и физическим лицом (далее - Пользователь), принявшим настоящее публичное предложение (Оферту) о заключении настоящего Договора.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1. ТЕРМИНЫ И ОПРЕДЕЛЕНИЯ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Пользователь - физическое лицо, которому Исполнитель непосредственно оказывает услуги по настоящему договору.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Сайт Исполнителя – …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Контент - информационные материалы Исполнителя, к которым на Сайте предоставляется доступ Пользователю.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Учетная запись/Логин - личная страница Пользователя на Сайте, содержащая данные Пользователя и информацию об оплате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