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left"/>
        <w:rPr/>
      </w:pPr>
      <w:r>
        <w:rPr>
          <w:rFonts w:ascii="Times New Roman" w:hAnsi="Times New Roman"/>
          <w:b/>
          <w:bCs/>
          <w:sz w:val="32"/>
          <w:szCs w:val="32"/>
        </w:rPr>
        <w:t>Проектирование базы данных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lef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Название задания «ТОРГОВОЕ ПРЕДПРИЯТИЕ»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/>
      </w:pPr>
      <w:r>
        <w:rPr>
          <w:rFonts w:ascii="Times New Roman" w:hAnsi="Times New Roman"/>
        </w:rPr>
        <w:t>Наименование товара, стоимость, изготовитель, дата изготовления, цена, количество на складе, есть ли спрос на товар примечания.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1. Анализ предметной области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Торговое предприятие в данной предметной области представляет собой организацию, занимающуюся закупкой, хранением и продажей товаров различных производителей. Основная цель предприятия - получение прибыли через продажу товаров с наценкой, эффективное управление складскими запасами и удовлетворение потребительского спроса.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1.1 Термины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Торговое предприятие (предприятие торговли) — имущественный комплекс, используемый торговыми организациями или индивидуальными предпринимателями для продажи товаров и/или оказания услуг торговли. К торговым предприятиям относят предприятия розничной торговли, оптовой торговли и оптово-розничной торговли.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Товар — это любая вещь, которая участвует в свободном обмене на другие вещи, продукт, произведённый для продажи.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Себестоимость товара — это сумма всех издержек на его производство, рекламу и продажу.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Цена продажи товара — это сумма, которую покупатель отдаёт продавцу в обмен на товар. Она показывает, как участники рынка оценивают ценность продукта, насколько он нужен людям и сколько они готовы за него заплатить.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Производитель — это субъект экономической деятельности, который изготавливает и продаёт товары или предоставляет услуги.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Спрос на товар — это ситуация, когда у покупателя совпадает желание и возможность приобрести какой-то товар.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Складской учёт — это система организации и контроля за движением материальных ценностей на складе. Включает процессы регистрации поступления, хранения, перемещения и отпуска товаров, а также учёт остатков на разных этапах логистической цепочки.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1.2 Сущности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1191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Товары: номер продукта, наименование, номер производителя, дата изготовления, стоимость, цена, спрос на товар, примечание.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1191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Производители: номер производителя, название, контактная информация.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1191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Склад: номер склада, номер продукта, количество, дата обновления (обновление информации о продукте на складе).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1.3 Связи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1191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Товары — производятся - Производители. Каждый товар привязан к конкретному производителю.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1191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Товар — находится - Склад. Каждый товар имеет свою позицию на складе.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1.4 Ключи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1134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Товары: первичный ключ – номер продукта, внешний ключ — номер производителя.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1134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Производители: первичный ключ – номер производителя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1134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Склад: первичный ключ – номер склада, внешний ключ -номер продукта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1.5 Запросы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1191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Вывести все товары конкретного производителя.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1191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Вывести есть ли спрос на товар у конкретного производителя.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1191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Вывести товары ценой менее 100 рублей.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1191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Вывести товары стоимостью более 200 рублей.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1191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Какие товары хранятся на складе с датой изготовления не раньше 01.04.2025.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1191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Какие продукты заканчиваются на складе (их количество на складе менее 100 шт.)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1191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Вывести производителей, у которых есть не менее</w:t>
      </w:r>
      <w:r>
        <w:rPr>
          <w:rFonts w:ascii="Times New Roman" w:hAnsi="Times New Roman"/>
          <w:lang w:val="en-GB"/>
        </w:rPr>
        <w:t xml:space="preserve"> </w:t>
      </w:r>
      <w:r>
        <w:rPr>
          <w:rFonts w:ascii="Times New Roman" w:hAnsi="Times New Roman"/>
          <w:lang w:val="en-GB"/>
        </w:rPr>
        <w:t>2</w:t>
      </w:r>
      <w:r>
        <w:rPr>
          <w:rFonts w:ascii="Times New Roman" w:hAnsi="Times New Roman"/>
          <w:lang w:val="en-GB"/>
        </w:rPr>
        <w:t xml:space="preserve"> </w:t>
      </w:r>
      <w:r>
        <w:rPr>
          <w:rFonts w:ascii="Times New Roman" w:hAnsi="Times New Roman"/>
        </w:rPr>
        <w:t>товаров.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1191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Вывести номер и название производителя товаров, чья дата изготовления не позже 1.05.2025.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1191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Вывести товары с высоким спросом у каждого производителя.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1191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Вывести товары с истекающим сроком годности (старше 6 месяцев)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1191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Вывести производителя с самым большим количеством товаров.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1191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Вывести товары которые никогда не были на складе.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1191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Вывести товары с одинаковой стоимостью, но разной ценой продажи.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1191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Вывести производителя, у которого все товары пользуются спросом (идеальные поставщики)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left="1191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</w:rPr>
        <w:t>2. ER-Диаграмма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b/>
          <w:bCs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b/>
          <w:bCs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Normal"/>
        <w:jc w:val="center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5642610" cy="169672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07" t="-355" r="-107" b="-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6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1. </w:t>
      </w:r>
      <w:r>
        <w:rPr>
          <w:rFonts w:ascii="Times New Roman" w:hAnsi="Times New Roman"/>
          <w:sz w:val="24"/>
          <w:szCs w:val="24"/>
          <w:lang w:val="en-GB"/>
        </w:rPr>
        <w:t>ER-</w:t>
      </w:r>
      <w:r>
        <w:rPr>
          <w:rFonts w:ascii="Times New Roman" w:hAnsi="Times New Roman"/>
          <w:sz w:val="24"/>
          <w:szCs w:val="24"/>
          <w:lang w:val="ru-RU"/>
        </w:rPr>
        <w:t>диаграмма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28"/>
        </w:rPr>
        <w:t>3. Инфологическая модель</w:t>
      </w:r>
    </w:p>
    <w:p>
      <w:pPr>
        <w:pStyle w:val="Normal"/>
        <w:spacing w:lineRule="auto" w:line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spacing w:lineRule="auto" w:line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sz w:val="28"/>
        </w:rPr>
      </w:pPr>
      <w:r>
        <w:rPr/>
        <w:drawing>
          <wp:inline distT="0" distB="0" distL="0" distR="0">
            <wp:extent cx="6008370" cy="143383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85" t="-356" r="-85" b="-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37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jc w:val="center"/>
        <w:rPr>
          <w:sz w:val="24"/>
          <w:szCs w:val="24"/>
        </w:rPr>
      </w:pPr>
      <w:r>
        <w:rPr>
          <w:sz w:val="24"/>
          <w:szCs w:val="24"/>
        </w:rPr>
        <w:t>Рисунок 2. Инфологическая модель</w:t>
      </w:r>
    </w:p>
    <w:p>
      <w:pPr>
        <w:pStyle w:val="Normal"/>
        <w:spacing w:lineRule="auto" w:line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>
          <w:rFonts w:ascii="Times New Roman" w:hAnsi="Times New Roman"/>
          <w:b/>
          <w:bCs/>
          <w:sz w:val="28"/>
          <w:lang w:val="ru-RU"/>
        </w:rPr>
        <w:t>3.1 Нормализация данных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  <w:i/>
          <w:i/>
          <w:iCs/>
          <w:sz w:val="28"/>
          <w:lang w:val="ru-RU"/>
        </w:rPr>
      </w:pPr>
      <w:r>
        <w:rPr>
          <w:rFonts w:ascii="Times New Roman" w:hAnsi="Times New Roman"/>
          <w:i/>
          <w:iCs/>
          <w:sz w:val="28"/>
          <w:lang w:val="ru-RU"/>
        </w:rPr>
        <w:t>Первая нормальная форма: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Таблица находится в первой нормальной форме тогда и только тогда, когда ни одна из её строк не содержит в любом своем поле более одного значения и ни одно из её ключевых полей не пусто.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Правила: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283" w:left="1020" w:right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1. Уникальность строк — каждая строка идентифицируется уникально по первичному ключу.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283" w:left="1020" w:right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2. Хранение значений из одного и того же домена — каждый столбец должен применять ограничение типа данных и принимать значения только этого типа.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283" w:left="1020" w:right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3. Каждый столбец в таблице должен иметь уникальное имя — это позволяет избежать путаницы при получении, обновлении или добавлении данных.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Итог: Таблицы приведены к первой нормальной форме.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  <w:i/>
          <w:i/>
          <w:iCs/>
          <w:sz w:val="28"/>
          <w:lang w:val="ru-RU"/>
        </w:rPr>
      </w:pPr>
      <w:r>
        <w:rPr>
          <w:rFonts w:ascii="Times New Roman" w:hAnsi="Times New Roman"/>
          <w:i/>
          <w:iCs/>
          <w:sz w:val="28"/>
          <w:lang w:val="ru-RU"/>
        </w:rPr>
        <w:t>Вторая нормальная форма: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Таблица находится во второй нормальной форме, если она удовлетворяет определению первой нормальной формы и все её поля, не входящие в первичный ключ, связаны полной функциональной зависимостью с первичным ключом.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Правила: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227" w:left="964" w:right="0"/>
        <w:jc w:val="both"/>
        <w:rPr/>
      </w:pPr>
      <w:r>
        <w:rPr>
          <w:rFonts w:ascii="Times New Roman" w:hAnsi="Times New Roman"/>
          <w:sz w:val="28"/>
          <w:lang w:val="ru-RU"/>
        </w:rPr>
        <w:t>1</w:t>
      </w:r>
      <w:r>
        <w:rPr>
          <w:rFonts w:eastAsia="NSimSun" w:cs="Lucida Sans" w:ascii="Times New Roman" w:hAnsi="Times New Roman"/>
          <w:color w:val="000000"/>
          <w:spacing w:val="0"/>
          <w:kern w:val="0"/>
          <w:sz w:val="28"/>
          <w:szCs w:val="20"/>
          <w:lang w:val="ru-RU" w:eastAsia="zh-CN" w:bidi="hi-IN"/>
        </w:rPr>
        <w:t>. Таблица должна находиться в первой нормальной форме (1NF).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227" w:left="964" w:right="0"/>
        <w:jc w:val="both"/>
        <w:rPr>
          <w:rFonts w:ascii="Times New Roman" w:hAnsi="Times New Roman" w:eastAsia="NSimSun" w:cs="Lucida Sans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NSimSun" w:cs="Lucida Sans" w:ascii="Times New Roman" w:hAnsi="Times New Roman"/>
          <w:color w:val="000000"/>
          <w:spacing w:val="0"/>
          <w:kern w:val="0"/>
          <w:sz w:val="28"/>
          <w:szCs w:val="20"/>
          <w:lang w:val="ru-RU" w:eastAsia="zh-CN" w:bidi="hi-IN"/>
        </w:rPr>
        <w:t>2. Если ключ составной (состоит из нескольких столбцов), то все остальные неключевые столбцы должны зависеть от всего ключа (от всех столбцов в этом ключе).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283" w:left="1020" w:right="0"/>
        <w:jc w:val="both"/>
        <w:rPr>
          <w:rFonts w:ascii="Times New Roman" w:hAnsi="Times New Roman" w:eastAsia="NSimSun" w:cs="Lucida Sans"/>
          <w:color w:val="000000"/>
          <w:spacing w:val="0"/>
          <w:kern w:val="0"/>
          <w:sz w:val="28"/>
          <w:szCs w:val="20"/>
          <w:lang w:val="ru-RU" w:eastAsia="zh-CN" w:bidi="hi-IN"/>
        </w:rPr>
      </w:pPr>
      <w:r>
        <w:rPr>
          <w:rFonts w:eastAsia="NSimSun" w:cs="Lucida Sans" w:ascii="Times New Roman" w:hAnsi="Times New Roman"/>
          <w:color w:val="000000"/>
          <w:spacing w:val="0"/>
          <w:kern w:val="0"/>
          <w:sz w:val="28"/>
          <w:szCs w:val="20"/>
          <w:lang w:val="ru-RU" w:eastAsia="zh-CN" w:bidi="hi-IN"/>
        </w:rPr>
        <w:t>3. Если первичный ключ простой (состоит из одного столбца), то второе требование не выполняется — считается, что все остальные атрибуты автоматически находятся в полной функциональной зависимости от первичного ключа.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Итог: Таблицы приведены ко второй нормальной форме.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  <w:i/>
          <w:i/>
          <w:iCs/>
          <w:sz w:val="28"/>
          <w:lang w:val="ru-RU"/>
        </w:rPr>
      </w:pPr>
      <w:r>
        <w:rPr>
          <w:rFonts w:ascii="Times New Roman" w:hAnsi="Times New Roman"/>
          <w:i/>
          <w:iCs/>
          <w:sz w:val="28"/>
          <w:lang w:val="ru-RU"/>
        </w:rPr>
        <w:t>Третья нормальная форма: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Таблица находится в третьей нормальной форме, если она удовлетворяет определению второй нормальной формы и ни одно из её не ключевых полей не зависит функционально от любого другого ключевого поля.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Правила: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283" w:left="1020" w:right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1. Находится во второй нормальной форме (2NF). 3NF наследует правила 2NF: каждый неключевой атрибут должен полностью зависеть от всего первичного ключа, а не от его части.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340" w:left="1020" w:right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2. Все неключевые атрибуты зависят только от первичного ключа и не зависят от других неключевых атрибутов. 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Итог: Таблицы приведены к третьей нормальной форме.</w:t>
      </w:r>
    </w:p>
    <w:p>
      <w:pPr>
        <w:pStyle w:val="Normal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>
          <w:rFonts w:ascii="Times New Roman" w:hAnsi="Times New Roman"/>
          <w:b/>
          <w:bCs/>
          <w:sz w:val="28"/>
          <w:lang w:val="en-GB"/>
        </w:rPr>
        <w:t xml:space="preserve">4. </w:t>
      </w:r>
      <w:r>
        <w:rPr>
          <w:rFonts w:ascii="Times New Roman" w:hAnsi="Times New Roman"/>
          <w:b/>
          <w:bCs/>
          <w:sz w:val="28"/>
        </w:rPr>
        <w:t>Логическая модель</w:t>
      </w:r>
    </w:p>
    <w:p>
      <w:pPr>
        <w:pStyle w:val="Normal"/>
        <w:spacing w:lineRule="auto" w:line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spacing w:lineRule="auto" w:line="2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/>
      </w:pPr>
      <w:r>
        <w:rPr>
          <w:rFonts w:ascii="Times New Roman" w:hAnsi="Times New Roman"/>
          <w:sz w:val="28"/>
        </w:rPr>
        <w:t xml:space="preserve">Проектирование базы данных будет осуществляться в </w:t>
      </w:r>
      <w:r>
        <w:rPr>
          <w:rFonts w:ascii="Times New Roman" w:hAnsi="Times New Roman"/>
          <w:sz w:val="28"/>
          <w:lang w:val="en-GB"/>
        </w:rPr>
        <w:t>SQL Manager Lite for MySQL.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Сущность «Производители»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tbl>
      <w:tblPr>
        <w:tblW w:w="685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7"/>
        <w:gridCol w:w="2334"/>
        <w:gridCol w:w="1347"/>
      </w:tblGrid>
      <w:tr>
        <w:trPr>
          <w:trHeight w:val="360" w:hRule="atLeast"/>
        </w:trPr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Поле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Размер</w:t>
            </w:r>
          </w:p>
        </w:tc>
      </w:tr>
      <w:tr>
        <w:trPr>
          <w:trHeight w:val="360" w:hRule="atLeast"/>
        </w:trPr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Номер производителя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INTEGER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4</w:t>
            </w:r>
          </w:p>
        </w:tc>
      </w:tr>
      <w:tr>
        <w:trPr>
          <w:trHeight w:val="360" w:hRule="atLeast"/>
        </w:trPr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Название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VARCHAR(20)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21</w:t>
            </w:r>
          </w:p>
        </w:tc>
      </w:tr>
      <w:tr>
        <w:trPr>
          <w:trHeight w:val="360" w:hRule="atLeast"/>
        </w:trPr>
        <w:tc>
          <w:tcPr>
            <w:tcW w:w="3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Контактная информация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VARCHAR(20)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21</w:t>
            </w:r>
          </w:p>
        </w:tc>
      </w:tr>
      <w:tr>
        <w:trPr>
          <w:trHeight w:val="360" w:hRule="atLeast"/>
        </w:trPr>
        <w:tc>
          <w:tcPr>
            <w:tcW w:w="55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 1 запись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GB"/>
              </w:rPr>
              <w:t>46</w:t>
            </w:r>
            <w:r>
              <w:rPr>
                <w:rFonts w:ascii="Times New Roman" w:hAnsi="Times New Roman"/>
              </w:rPr>
              <w:t xml:space="preserve"> б</w:t>
            </w:r>
          </w:p>
        </w:tc>
      </w:tr>
      <w:tr>
        <w:trPr>
          <w:trHeight w:val="360" w:hRule="atLeast"/>
        </w:trPr>
        <w:tc>
          <w:tcPr>
            <w:tcW w:w="55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 1</w:t>
            </w:r>
            <w:r>
              <w:rPr>
                <w:rFonts w:ascii="Times New Roman" w:hAnsi="Times New Roman"/>
                <w:lang w:val="en-GB"/>
              </w:rPr>
              <w:t>5</w:t>
            </w:r>
            <w:r>
              <w:rPr>
                <w:rFonts w:ascii="Times New Roman" w:hAnsi="Times New Roman"/>
              </w:rPr>
              <w:t xml:space="preserve"> записей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GB"/>
              </w:rPr>
              <w:t>690</w:t>
            </w:r>
            <w:r>
              <w:rPr>
                <w:rFonts w:ascii="Times New Roman" w:hAnsi="Times New Roman"/>
              </w:rPr>
              <w:t xml:space="preserve"> б</w:t>
            </w:r>
          </w:p>
        </w:tc>
      </w:tr>
    </w:tbl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Сущность «Товары»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tbl>
      <w:tblPr>
        <w:tblW w:w="655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331"/>
        <w:gridCol w:w="1349"/>
      </w:tblGrid>
      <w:tr>
        <w:trPr>
          <w:trHeight w:val="360" w:hRule="atLeast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Поле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Размер</w:t>
            </w:r>
          </w:p>
        </w:tc>
      </w:tr>
      <w:tr>
        <w:trPr>
          <w:trHeight w:val="360" w:hRule="atLeast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Номер продукта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INTEGER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4</w:t>
            </w:r>
          </w:p>
        </w:tc>
      </w:tr>
      <w:tr>
        <w:trPr>
          <w:trHeight w:val="360" w:hRule="atLeast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Наименование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VARCHAR(20)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21</w:t>
            </w:r>
          </w:p>
        </w:tc>
      </w:tr>
      <w:tr>
        <w:trPr>
          <w:trHeight w:val="360" w:hRule="atLeast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Номер производителя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INTEGER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4</w:t>
            </w:r>
          </w:p>
        </w:tc>
      </w:tr>
      <w:tr>
        <w:trPr>
          <w:trHeight w:val="360" w:hRule="atLeast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изготовления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DATE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3</w:t>
            </w:r>
          </w:p>
        </w:tc>
      </w:tr>
      <w:tr>
        <w:trPr>
          <w:trHeight w:val="360" w:hRule="atLeast"/>
        </w:trPr>
        <w:tc>
          <w:tcPr>
            <w:tcW w:w="28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Стоимость</w:t>
            </w:r>
          </w:p>
        </w:tc>
        <w:tc>
          <w:tcPr>
            <w:tcW w:w="23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DECIMAL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4</w:t>
            </w:r>
          </w:p>
        </w:tc>
      </w:tr>
      <w:tr>
        <w:trPr>
          <w:trHeight w:val="360" w:hRule="atLeast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Цена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DECIMAL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4</w:t>
            </w:r>
          </w:p>
        </w:tc>
      </w:tr>
      <w:tr>
        <w:trPr>
          <w:trHeight w:val="360" w:hRule="atLeast"/>
        </w:trPr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Спрос на товар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TINYINT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>
        <w:trPr>
          <w:trHeight w:val="360" w:hRule="atLeast"/>
        </w:trPr>
        <w:tc>
          <w:tcPr>
            <w:tcW w:w="28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Примечание</w:t>
            </w:r>
          </w:p>
        </w:tc>
        <w:tc>
          <w:tcPr>
            <w:tcW w:w="23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0"/>
              <w:ind w:hanging="0" w:left="0" w:righ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VARCHAR(</w:t>
            </w:r>
            <w:r>
              <w:rPr>
                <w:rFonts w:ascii="Times New Roman" w:hAnsi="Times New Roman"/>
                <w:lang w:val="en-GB"/>
              </w:rPr>
              <w:t>45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46</w:t>
            </w:r>
          </w:p>
        </w:tc>
      </w:tr>
      <w:tr>
        <w:trPr>
          <w:trHeight w:val="360" w:hRule="atLeast"/>
        </w:trPr>
        <w:tc>
          <w:tcPr>
            <w:tcW w:w="5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 1 запись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GB"/>
              </w:rPr>
              <w:t>87</w:t>
            </w:r>
            <w:r>
              <w:rPr>
                <w:rFonts w:ascii="Times New Roman" w:hAnsi="Times New Roman"/>
              </w:rPr>
              <w:t xml:space="preserve"> б</w:t>
            </w:r>
          </w:p>
        </w:tc>
      </w:tr>
      <w:tr>
        <w:trPr>
          <w:trHeight w:val="360" w:hRule="atLeast"/>
        </w:trPr>
        <w:tc>
          <w:tcPr>
            <w:tcW w:w="5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</w:t>
            </w:r>
            <w:r>
              <w:rPr>
                <w:rFonts w:ascii="Times New Roman" w:hAnsi="Times New Roman"/>
                <w:lang w:val="en-GB"/>
              </w:rPr>
              <w:t xml:space="preserve"> 15 </w:t>
            </w:r>
            <w:r>
              <w:rPr>
                <w:rFonts w:ascii="Times New Roman" w:hAnsi="Times New Roman"/>
              </w:rPr>
              <w:t>записей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GB"/>
              </w:rPr>
              <w:t>1305</w:t>
            </w:r>
            <w:r>
              <w:rPr>
                <w:rFonts w:ascii="Times New Roman" w:hAnsi="Times New Roman"/>
              </w:rPr>
              <w:t xml:space="preserve"> б</w:t>
            </w:r>
          </w:p>
        </w:tc>
      </w:tr>
    </w:tbl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Сущность «Склад»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tbl>
      <w:tblPr>
        <w:tblW w:w="60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3"/>
        <w:gridCol w:w="2332"/>
        <w:gridCol w:w="1347"/>
      </w:tblGrid>
      <w:tr>
        <w:trPr>
          <w:trHeight w:val="360" w:hRule="atLeast"/>
        </w:trPr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Поле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Размер</w:t>
            </w:r>
          </w:p>
        </w:tc>
      </w:tr>
      <w:tr>
        <w:trPr>
          <w:trHeight w:val="360" w:hRule="atLeast"/>
        </w:trPr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Номер склада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INTEGER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4</w:t>
            </w:r>
          </w:p>
        </w:tc>
      </w:tr>
      <w:tr>
        <w:trPr>
          <w:trHeight w:val="360" w:hRule="atLeast"/>
        </w:trPr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Номер продукта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INTEGER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4</w:t>
            </w:r>
          </w:p>
        </w:tc>
      </w:tr>
      <w:tr>
        <w:trPr>
          <w:trHeight w:val="360" w:hRule="atLeast"/>
        </w:trPr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Количество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INTEGER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4</w:t>
            </w:r>
          </w:p>
        </w:tc>
      </w:tr>
      <w:tr>
        <w:trPr>
          <w:trHeight w:val="360" w:hRule="atLeast"/>
        </w:trPr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обновления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DATE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3</w:t>
            </w:r>
          </w:p>
        </w:tc>
      </w:tr>
      <w:tr>
        <w:trPr>
          <w:trHeight w:val="360" w:hRule="atLeast"/>
        </w:trPr>
        <w:tc>
          <w:tcPr>
            <w:tcW w:w="46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 1 запись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GB"/>
              </w:rPr>
              <w:t>19</w:t>
            </w:r>
            <w:r>
              <w:rPr>
                <w:rFonts w:ascii="Times New Roman" w:hAnsi="Times New Roman"/>
              </w:rPr>
              <w:t xml:space="preserve"> б</w:t>
            </w:r>
          </w:p>
        </w:tc>
      </w:tr>
      <w:tr>
        <w:trPr>
          <w:trHeight w:val="360" w:hRule="atLeast"/>
        </w:trPr>
        <w:tc>
          <w:tcPr>
            <w:tcW w:w="46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 1</w:t>
            </w:r>
            <w:r>
              <w:rPr>
                <w:rFonts w:ascii="Times New Roman" w:hAnsi="Times New Roman"/>
                <w:lang w:val="en-GB"/>
              </w:rPr>
              <w:t>5</w:t>
            </w:r>
            <w:r>
              <w:rPr>
                <w:rFonts w:ascii="Times New Roman" w:hAnsi="Times New Roman"/>
              </w:rPr>
              <w:t xml:space="preserve"> записей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GB"/>
              </w:rPr>
              <w:t>285</w:t>
            </w:r>
            <w:r>
              <w:rPr>
                <w:rFonts w:ascii="Times New Roman" w:hAnsi="Times New Roman"/>
              </w:rPr>
              <w:t xml:space="preserve"> б</w:t>
            </w:r>
          </w:p>
        </w:tc>
      </w:tr>
    </w:tbl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Всего база данных займет:</w:t>
      </w:r>
      <w:r>
        <w:rPr>
          <w:rFonts w:ascii="Times New Roman" w:hAnsi="Times New Roman"/>
          <w:sz w:val="28"/>
          <w:lang w:val="en-GB"/>
        </w:rPr>
        <w:t xml:space="preserve"> 2280 </w:t>
      </w:r>
      <w:r>
        <w:rPr>
          <w:rFonts w:ascii="Times New Roman" w:hAnsi="Times New Roman"/>
          <w:sz w:val="28"/>
        </w:rPr>
        <w:t>байт.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5. Физическая реализация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Сущность «Производители»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TABLE `производители` (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`НомерПроизводителя` INTEGER(10) UNSIGNED NOT NULL AUTO_INCREMENT,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`Название` VARCHAR(20) COLLATE cp1251_general_ci DEFAULT NULL,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</w:t>
      </w:r>
      <w:r>
        <w:rPr>
          <w:rFonts w:ascii="Courier New" w:hAnsi="Courier New"/>
          <w:sz w:val="20"/>
          <w:szCs w:val="20"/>
        </w:rPr>
        <w:t>`КонтактнаяИнформация` VARCHAR(45) COLLATE cp1251_general_ci DEFAULT NULL,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PRIMARY KEY (`НомерПроизводителя`) USING BTREE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) ENGINE=InnoDB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AUTO_INCREMENT=116 CHARACTER SET 'cp1251' COLLATE 'cp1251_general_ci'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center"/>
        <w:rPr>
          <w:rFonts w:ascii="Courier New" w:hAnsi="Courier New"/>
          <w:sz w:val="24"/>
          <w:szCs w:val="24"/>
        </w:rPr>
      </w:pPr>
      <w:r>
        <w:rPr/>
        <w:drawing>
          <wp:inline distT="0" distB="0" distL="0" distR="0">
            <wp:extent cx="4176395" cy="303022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39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3. Сущность «Производители»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Сущность «Товары»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TABLE `товары` (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`НомерПродукта` INTEGER(10) UNSIGNED NOT NULL AUTO_INCREMENT,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`Производители_НомерПроизводителя` INTEGER(10) UNSIGNED NOT NULL,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`Наименование` VARCHAR(20) COLLATE cp1251_general_ci DEFAULT NULL,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`ДатаИзготовления` DATE DEFAULT NULL,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`Стоимость` DECIMAL(10,0) DEFAULT NULL,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`Цена` DECIMAL(10,0) DEFAULT NULL,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`Спрос` TINYINT(1) DEFAULT NULL,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`Примечание` VARCHAR(45) COLLATE cp1251_general_ci DEFAULT NULL,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PRIMARY KEY (`НомерПродукта`) USING BTREE,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KEY `Товары_FKIndex1` (`Производители_НомерПроизводителя`) USING BTREE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) ENGINE=InnoDB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AUTO_INCREMENT=216 CHARACTER SET 'cp1251' COLLATE 'cp1251_general_ci'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center"/>
        <w:rPr>
          <w:rFonts w:ascii="Courier New" w:hAnsi="Courier New"/>
          <w:sz w:val="24"/>
          <w:szCs w:val="24"/>
        </w:rPr>
      </w:pPr>
      <w:r>
        <w:rPr/>
        <w:drawing>
          <wp:inline distT="0" distB="0" distL="0" distR="0">
            <wp:extent cx="2360295" cy="237045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9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4. Сущность «Товары»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37" w:left="0" w:righ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Сущность «Склад»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TABLE `склад` (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`НомерСклада` INTEGER(10) UNSIGNED NOT NULL AUTO_INCREMENT,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`Товары_НомерПродукта` INTEGER(10) UNSIGNED NOT NULL,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`Количество` INTEGER(10) UNSIGNED DEFAULT NULL,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`ДатаОбновления` DATE DEFAULT NULL,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PRIMARY KEY (`НомерСклада`) USING BTREE,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KEY `Склад_FKIndex1` (`Товары_НомерПродукта`) USING BTREE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) ENGINE=InnoDB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AUTO_INCREMENT=1016 CHARACTER SET 'cp1251' COLLATE 'cp1251_general_ci'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center"/>
        <w:rPr>
          <w:rFonts w:ascii="Courier New" w:hAnsi="Courier New"/>
          <w:sz w:val="20"/>
          <w:szCs w:val="20"/>
        </w:rPr>
      </w:pPr>
      <w:r>
        <w:rPr/>
        <w:drawing>
          <wp:inline distT="0" distB="0" distL="0" distR="0">
            <wp:extent cx="2949575" cy="2962275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5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5. Сущность «Склад»</w:t>
      </w:r>
      <w:r>
        <w:br w:type="page"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select *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from `товары`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where Производители_НомерПроизводителя = 112;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select Наименование, Спрос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from `товары`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where Производители_НомерПроизводителя = 106;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select *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from `товары`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where Цена &lt; 100;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select *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from `товары`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where Стоимость &gt; 200;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select t.*, c.Количество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from `товары` t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join склад c on t.НомерПродукта = c.Товары_НомерПродукта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where t.ДатаИзготовления &gt;= '2025-04-01';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 xml:space="preserve">select t.НомерПродукта, t.Наименование, c.Количество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from `товары` t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join склад c ON t.НомерПродукта = c.Товары_НомерПродукта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where c.Количество &lt; 100;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select p.НомерПроизводителя, p.Название, COUNT(t.НомерПродукта) AS КоличествоТоваров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from `производители` p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join товары t ON p.НомерПроизводителя = t.Производители_НомерПроизводителя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group by p.НомерПроизводителя, p.Название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having COUNT(t.НомерПродукта) &gt;= 2;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select p.НомерПроизводителя, p.Название, t.ДатаИзготовления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from `производители` p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join товары t ON p.НомерПроизводителя = t.Производители_НомерПроизводителя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where t.ДатаИзготовления &lt;= '2025-05-01';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select p.Название,t.Наименование, t.Спрос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from `товары` t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join производители p ON t.Производители_НомерПроизводителя = p.НомерПроизводителя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where t.Спрос = 1;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select *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from `товары`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where ДатаИзготовления &lt; DATE_SUB(CURDATE(), INTERVAL 6 MONTH);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select p.НомерПроизводителя, p.Название, COUNT(t.НомерПродукта) AS КоличествоТоваров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from `производители` p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join товары t ON p.НомерПроизводителя = t.Производители_НомерПроизводителя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group by p.НомерПроизводителя, p.Название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order by КоличествоТоваров DESC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limit 3;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select t.*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from `товары` t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left join склад c ON t.НомерПродукта = c.Товары_НомерПродукта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where c.НомерСклада IS NULL;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 xml:space="preserve">select t1.Наименование AS Товар1, t2.Наименование AS Товар2,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 xml:space="preserve">       </w:t>
      </w:r>
      <w:r>
        <w:rPr/>
        <w:t>t1.Стоимость, t1.Цена AS Цена1, t2.Цена AS Цена2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from `товары` t1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join товары t2 ON t1.Стоимость = t2.Стоимость AND t1.Цена &lt;&gt; t2.Цена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where t1.НомерПродукта &lt; t2.НомерПродукта;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select p.НомерПроизводителя, p.Название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from `производители` p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where not exists (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 xml:space="preserve">    </w:t>
      </w:r>
      <w:r>
        <w:rPr/>
        <w:t xml:space="preserve">select 1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 xml:space="preserve">    </w:t>
      </w:r>
      <w:r>
        <w:rPr/>
        <w:t xml:space="preserve">from товары t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 xml:space="preserve">    </w:t>
      </w:r>
      <w:r>
        <w:rPr/>
        <w:t>where t.Производители_НомерПроизводителя = p.НомерПроизводителя and t.Спрос = 0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737" w:left="0" w:right="0"/>
        <w:jc w:val="both"/>
        <w:rPr/>
      </w:pPr>
      <w:r>
        <w:rPr/>
        <w:t>);</w:t>
      </w:r>
    </w:p>
    <w:sectPr>
      <w:type w:val="nextPage"/>
      <w:pgSz w:w="11906" w:h="16838"/>
      <w:pgMar w:left="1304" w:right="73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XO Thames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NSimSun" w:cs="Lucida Sans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4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NSimSun" w:cs="Lucida Sans"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1">
    <w:name w:val="Heading 1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0"/>
    </w:pPr>
    <w:rPr>
      <w:rFonts w:ascii="XO Thames" w:hAnsi="XO Thames" w:eastAsia="NSimSun" w:cs="Lucida Sans"/>
      <w:b/>
      <w:color w:val="000000"/>
      <w:spacing w:val="0"/>
      <w:kern w:val="0"/>
      <w:sz w:val="32"/>
      <w:szCs w:val="20"/>
      <w:lang w:val="ru-RU" w:eastAsia="zh-CN" w:bidi="hi-IN"/>
    </w:rPr>
  </w:style>
  <w:style w:type="paragraph" w:styleId="Heading2">
    <w:name w:val="Heading 2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1"/>
    </w:pPr>
    <w:rPr>
      <w:rFonts w:ascii="XO Thames" w:hAnsi="XO Thames" w:eastAsia="NSimSun" w:cs="Lucida Sans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3">
    <w:name w:val="Heading 3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2"/>
    </w:pPr>
    <w:rPr>
      <w:rFonts w:ascii="XO Thames" w:hAnsi="XO Thames" w:eastAsia="NSimSun" w:cs="Lucida Sans"/>
      <w:b/>
      <w:color w:val="000000"/>
      <w:spacing w:val="0"/>
      <w:kern w:val="0"/>
      <w:sz w:val="26"/>
      <w:szCs w:val="20"/>
      <w:lang w:val="ru-RU" w:eastAsia="zh-CN" w:bidi="hi-IN"/>
    </w:rPr>
  </w:style>
  <w:style w:type="paragraph" w:styleId="Heading4">
    <w:name w:val="Heading 4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3"/>
    </w:pPr>
    <w:rPr>
      <w:rFonts w:ascii="XO Thames" w:hAnsi="XO Thames" w:eastAsia="NSimSun" w:cs="Lucida Sans"/>
      <w:b/>
      <w:color w:val="000000"/>
      <w:spacing w:val="0"/>
      <w:kern w:val="0"/>
      <w:sz w:val="24"/>
      <w:szCs w:val="20"/>
      <w:lang w:val="ru-RU" w:eastAsia="zh-CN" w:bidi="hi-IN"/>
    </w:rPr>
  </w:style>
  <w:style w:type="paragraph" w:styleId="Heading5">
    <w:name w:val="Heading 5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4"/>
    </w:pPr>
    <w:rPr>
      <w:rFonts w:ascii="XO Thames" w:hAnsi="XO Thames" w:eastAsia="NSimSun" w:cs="Lucida Sans"/>
      <w:b/>
      <w:color w:val="000000"/>
      <w:spacing w:val="0"/>
      <w:kern w:val="0"/>
      <w:sz w:val="22"/>
      <w:szCs w:val="20"/>
      <w:lang w:val="ru-RU" w:eastAsia="zh-CN" w:bidi="hi-IN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Heading31">
    <w:name w:val="Heading 31"/>
    <w:qFormat/>
    <w:rPr>
      <w:rFonts w:ascii="XO Thames" w:hAnsi="XO Thames"/>
      <w:b/>
      <w:sz w:val="26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Heading51">
    <w:name w:val="Heading 51"/>
    <w:qFormat/>
    <w:rPr>
      <w:rFonts w:ascii="XO Thames" w:hAnsi="XO Thames"/>
      <w:b/>
      <w:sz w:val="22"/>
    </w:rPr>
  </w:style>
  <w:style w:type="character" w:styleId="Heading11">
    <w:name w:val="Heading 11"/>
    <w:qFormat/>
    <w:rPr>
      <w:rFonts w:ascii="XO Thames" w:hAnsi="XO Thames"/>
      <w:b/>
      <w:sz w:val="32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qFormat/>
    <w:rPr>
      <w:rFonts w:ascii="XO Thames" w:hAnsi="XO Thames"/>
      <w:sz w:val="20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Subtitle1">
    <w:name w:val="Subtitle1"/>
    <w:qFormat/>
    <w:rPr>
      <w:rFonts w:ascii="XO Thames" w:hAnsi="XO Thames"/>
      <w:i/>
      <w:sz w:val="24"/>
    </w:rPr>
  </w:style>
  <w:style w:type="character" w:styleId="Title1">
    <w:name w:val="Title1"/>
    <w:qFormat/>
    <w:rPr>
      <w:rFonts w:ascii="XO Thames" w:hAnsi="XO Thames"/>
      <w:b/>
      <w:caps/>
      <w:sz w:val="40"/>
    </w:rPr>
  </w:style>
  <w:style w:type="character" w:styleId="Heading41">
    <w:name w:val="Heading 41"/>
    <w:qFormat/>
    <w:rPr>
      <w:rFonts w:ascii="XO Thames" w:hAnsi="XO Thames"/>
      <w:b/>
      <w:sz w:val="24"/>
    </w:rPr>
  </w:style>
  <w:style w:type="character" w:styleId="Heading21">
    <w:name w:val="Heading 21"/>
    <w:qFormat/>
    <w:rPr>
      <w:rFonts w:ascii="XO Thames" w:hAnsi="XO Thames"/>
      <w:b/>
      <w:sz w:val="28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Lucida Sans"/>
    </w:rPr>
  </w:style>
  <w:style w:type="paragraph" w:styleId="TOC2">
    <w:name w:val="TOC 2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200" w:right="0"/>
      <w:jc w:val="left"/>
    </w:pPr>
    <w:rPr>
      <w:rFonts w:ascii="XO Thames" w:hAnsi="XO Thames" w:eastAsia="NSimSun" w:cs="Lucida Sans"/>
      <w:color w:val="000000"/>
      <w:spacing w:val="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600" w:right="0"/>
      <w:jc w:val="left"/>
    </w:pPr>
    <w:rPr>
      <w:rFonts w:ascii="XO Thames" w:hAnsi="XO Thames" w:eastAsia="NSimSun" w:cs="Lucida Sans"/>
      <w:color w:val="000000"/>
      <w:spacing w:val="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000" w:right="0"/>
      <w:jc w:val="left"/>
    </w:pPr>
    <w:rPr>
      <w:rFonts w:ascii="XO Thames" w:hAnsi="XO Thames" w:eastAsia="NSimSun" w:cs="Lucida Sans"/>
      <w:color w:val="000000"/>
      <w:spacing w:val="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200" w:right="0"/>
      <w:jc w:val="left"/>
    </w:pPr>
    <w:rPr>
      <w:rFonts w:ascii="XO Thames" w:hAnsi="XO Thames" w:eastAsia="NSimSun" w:cs="Lucida Sans"/>
      <w:color w:val="000000"/>
      <w:spacing w:val="0"/>
      <w:kern w:val="0"/>
      <w:sz w:val="28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400" w:right="0"/>
      <w:jc w:val="left"/>
    </w:pPr>
    <w:rPr>
      <w:rFonts w:ascii="XO Thames" w:hAnsi="XO Thames" w:eastAsia="NSimSun" w:cs="Lucida Sans"/>
      <w:color w:val="000000"/>
      <w:spacing w:val="0"/>
      <w:kern w:val="0"/>
      <w:sz w:val="28"/>
      <w:szCs w:val="20"/>
      <w:lang w:val="ru-RU" w:eastAsia="zh-CN" w:bidi="hi-IN"/>
    </w:rPr>
  </w:style>
  <w:style w:type="paragraph" w:styleId="Internetlink">
    <w:name w:val="Internet link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XO Thames" w:hAnsi="XO Thames" w:eastAsia="NSimSun" w:cs="Lucida Sans"/>
      <w:color w:val="0000FF"/>
      <w:spacing w:val="0"/>
      <w:kern w:val="0"/>
      <w:sz w:val="24"/>
      <w:szCs w:val="20"/>
      <w:u w:val="single"/>
      <w:lang w:val="ru-RU" w:eastAsia="zh-CN" w:bidi="hi-IN"/>
    </w:rPr>
  </w:style>
  <w:style w:type="paragraph" w:styleId="Footnote1">
    <w:name w:val="Footnote1"/>
    <w:link w:val="Footnote"/>
    <w:qFormat/>
    <w:pPr>
      <w:widowControl/>
      <w:suppressAutoHyphens w:val="true"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NSimSun" w:cs="Lucida Sans"/>
      <w:color w:val="000000"/>
      <w:spacing w:val="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XO Thames" w:hAnsi="XO Thames" w:eastAsia="NSimSun" w:cs="Lucida Sans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Style11">
    <w:name w:val="Колонтитул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NSimSun" w:cs="Lucida Sans"/>
      <w:color w:val="000000"/>
      <w:spacing w:val="0"/>
      <w:kern w:val="0"/>
      <w:sz w:val="20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600" w:right="0"/>
      <w:jc w:val="left"/>
    </w:pPr>
    <w:rPr>
      <w:rFonts w:ascii="XO Thames" w:hAnsi="XO Thames" w:eastAsia="NSimSun" w:cs="Lucida Sans"/>
      <w:color w:val="000000"/>
      <w:spacing w:val="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400" w:right="0"/>
      <w:jc w:val="left"/>
    </w:pPr>
    <w:rPr>
      <w:rFonts w:ascii="XO Thames" w:hAnsi="XO Thames" w:eastAsia="NSimSun" w:cs="Lucida Sans"/>
      <w:color w:val="000000"/>
      <w:spacing w:val="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800" w:right="0"/>
      <w:jc w:val="left"/>
    </w:pPr>
    <w:rPr>
      <w:rFonts w:ascii="XO Thames" w:hAnsi="XO Thames" w:eastAsia="NSimSun" w:cs="Lucida Sans"/>
      <w:color w:val="000000"/>
      <w:spacing w:val="0"/>
      <w:kern w:val="0"/>
      <w:sz w:val="28"/>
      <w:szCs w:val="20"/>
      <w:lang w:val="ru-RU" w:eastAsia="zh-CN" w:bidi="hi-IN"/>
    </w:rPr>
  </w:style>
  <w:style w:type="paragraph" w:styleId="Subtitle">
    <w:name w:val="Subtitle"/>
    <w:next w:val="Normal"/>
    <w:uiPriority w:val="11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NSimSun" w:cs="Lucida Sans"/>
      <w:i/>
      <w:color w:val="000000"/>
      <w:spacing w:val="0"/>
      <w:kern w:val="0"/>
      <w:sz w:val="24"/>
      <w:szCs w:val="20"/>
      <w:lang w:val="ru-RU" w:eastAsia="zh-CN" w:bidi="hi-IN"/>
    </w:rPr>
  </w:style>
  <w:style w:type="paragraph" w:styleId="Title">
    <w:name w:val="Title"/>
    <w:next w:val="Normal"/>
    <w:uiPriority w:val="10"/>
    <w:qFormat/>
    <w:pPr>
      <w:widowControl/>
      <w:suppressAutoHyphens w:val="true"/>
      <w:bidi w:val="0"/>
      <w:spacing w:lineRule="auto" w:line="240" w:before="567" w:after="567"/>
      <w:ind w:hanging="0" w:left="0" w:right="0"/>
      <w:jc w:val="center"/>
    </w:pPr>
    <w:rPr>
      <w:rFonts w:ascii="XO Thames" w:hAnsi="XO Thames" w:eastAsia="NSimSun" w:cs="Lucida Sans"/>
      <w:b/>
      <w:caps/>
      <w:color w:val="000000"/>
      <w:spacing w:val="0"/>
      <w:kern w:val="0"/>
      <w:sz w:val="40"/>
      <w:szCs w:val="20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 pitchFamily="0" charset="1"/>
        <a:ea typeface=""/>
        <a:cs typeface=""/>
      </a:majorFont>
      <a:minorFont>
        <a:latin typeface="XO Thame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63000"/>
              </a:schemeClr>
            </a:gs>
            <a:gs pos="100000">
              <a:schemeClr val="phClr">
                <a:tint val="85000"/>
              </a:schemeClr>
            </a:gs>
          </a:gsLst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tileRect l="0" t="0" r="0" b="0"/>
        </a:gradFill>
      </a:fillStyleLst>
      <a:lnStyleLst>
        <a:ln w="0">
          <a:prstDash val="solid"/>
        </a:ln>
        <a:ln w="0">
          <a:prstDash val="solid"/>
        </a:ln>
        <a:ln w="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</a:schemeClr>
            </a:gs>
            <a:gs pos="40000">
              <a:schemeClr val="phClr">
                <a:tint val="5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2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Application>LibreOffice/7.6.4.1$Windows_X86_64 LibreOffice_project/e19e193f88cd6c0525a17fb7a176ed8e6a3e2aa1</Application>
  <AppVersion>15.0000</AppVersion>
  <Pages>10</Pages>
  <Words>1235</Words>
  <Characters>8521</Characters>
  <CharactersWithSpaces>9602</CharactersWithSpaces>
  <Paragraphs>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2025-10-29T21:06:48Z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