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200" w:before="0"/>
        <w:jc w:val="center"/>
      </w:pPr>
      <w:r>
        <w:rPr>
          <w:rFonts w:ascii="Arial" w:cs="Arial" w:eastAsia="Arial" w:hAnsi="Arial"/>
          <w:b/>
          <w:bCs/>
          <w:color w:val="1F4E79"/>
          <w:sz w:val="48"/>
          <w:szCs w:val="48"/>
        </w:rPr>
        <w:t xml:space="preserve">EINDHOVEN MOOD RADAR</w:t>
      </w:r>
    </w:p>
    <w:p>
      <w:pPr>
        <w:spacing w:after="120" w:before="0"/>
        <w:jc w:val="center"/>
      </w:pPr>
      <w:r>
        <w:rPr>
          <w:rFonts w:ascii="Arial" w:cs="Arial" w:eastAsia="Arial" w:hAnsi="Arial"/>
          <w:b/>
          <w:bCs/>
          <w:color w:val="2E75B6"/>
          <w:sz w:val="34"/>
          <w:szCs w:val="34"/>
        </w:rPr>
        <w:t xml:space="preserve">GDPR &amp; EU AI Act Compliance Checklist</w:t>
      </w:r>
    </w:p>
    <w:p>
      <w:pPr>
        <w:pBdr>
          <w:bottom w:val="single" w:color="2E75B6" w:sz="6" w:space="4"/>
        </w:pBdr>
        <w:spacing w:after="400" w:before="0"/>
        <w:jc w:val="center"/>
      </w:pPr>
      <w:r>
        <w:rPr>
          <w:sz w:val="24"/>
          <w:szCs w:val="24"/>
        </w:rPr>
        <w:t xml:space="preserve"/>
      </w:r>
    </w:p>
    <w:p>
      <w:pPr>
        <w:spacing w:after="0" w:before="1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Project</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Eindhoven Mood Radar</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Team</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Moonshot — Fontys ICT</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Author Role</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AI / Security Specialist</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Document</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Compliance Checklist v1.0</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Review Phase</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Phase 1 (initial) — revisit Phase 4</w:t>
            </w:r>
          </w:p>
        </w:tc>
      </w:tr>
    </w:tbl>
    <w:p>
      <w:pPr>
        <w:spacing w:after="0" w:before="160"/>
      </w:pPr>
      <w:r>
        <w:t xml:space="preserve"/>
      </w:r>
    </w:p>
    <w:p>
      <w:pPr>
        <w:jc w:val="center"/>
      </w:pPr>
      <w:r>
        <w:rPr>
          <w:rFonts w:ascii="Arial" w:cs="Arial" w:eastAsia="Arial" w:hAnsi="Arial"/>
          <w:i/>
          <w:iCs/>
          <w:color w:val="595959"/>
          <w:sz w:val="20"/>
          <w:szCs w:val="20"/>
        </w:rPr>
        <w:t xml:space="preserve">Fontys ICT · Group Project · March 2026</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200" w:before="400"/>
      </w:pPr>
      <w:r>
        <w:rPr>
          <w:rFonts w:ascii="Arial" w:cs="Arial" w:eastAsia="Arial" w:hAnsi="Arial"/>
          <w:b/>
          <w:bCs/>
          <w:color w:val="1F4E79"/>
          <w:sz w:val="32"/>
          <w:szCs w:val="32"/>
        </w:rPr>
        <w:t xml:space="preserve">Legal Classification</w:t>
      </w:r>
    </w:p>
    <w:p>
      <w:pPr>
        <w:spacing w:after="80" w:before="60"/>
      </w:pPr>
      <w:r>
        <w:rPr>
          <w:rFonts w:ascii="Arial" w:cs="Arial" w:eastAsia="Arial" w:hAnsi="Arial"/>
          <w:sz w:val="22"/>
          <w:szCs w:val="22"/>
        </w:rPr>
        <w:t xml:space="preserve">Before reviewing the checklist, it is important to understand which laws apply and at what level.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Law / Regulation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Obligation Level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GDPR (EU 2016/679)</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applicable as primary regulation — no personal data is processed. The system collects no user data, stores no PII, and requires no lawful basis.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Design compliance only (verify no personal data leaks in)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EU AI Act (2024/1689)</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Limited-Risk AI system under Article 50. The app makes AI-generated inferences (mood labels) visible to the public and must meet transparency obligations.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Mandatory: transparency disclosures required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Dutch Implementation Law (Uitvoeringswet AVG)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Same as GDPR — not triggered because no personal data is processed.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Design compliance only</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Legend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tblGrid>
      <w:tr>
        <w:tc>
          <w:tcPr>
            <w:tcW w:type="dxa" w:w="1200"/>
            <w:tcBorders>
              <w:top w:val="single" w:color="CCCCCC" w:sz="1"/>
              <w:left w:val="single" w:color="CCCCCC" w:sz="1"/>
              <w:bottom w:val="single" w:color="CCCCCC" w:sz="1"/>
              <w:right w:val="single" w:color="CCCCCC" w:sz="1"/>
            </w:tcBorders>
            <w:shd w:fill="D6F0E0" w:val="clear"/>
            <w:tcMar>
              <w:top w:type="dxa" w:w="60"/>
              <w:left w:type="dxa" w:w="120"/>
              <w:bottom w:type="dxa" w:w="60"/>
              <w:right w:type="dxa" w:w="120"/>
            </w:tcMar>
          </w:tcPr>
          <w:p>
            <w:r>
              <w:rPr>
                <w:rFonts w:ascii="Arial" w:cs="Arial" w:eastAsia="Arial" w:hAnsi="Arial"/>
                <w:b/>
                <w:bCs/>
                <w:color w:val="1A6B3C"/>
                <w:sz w:val="20"/>
                <w:szCs w:val="20"/>
              </w:rPr>
              <w:t xml:space="preserve">Met</w:t>
            </w:r>
          </w:p>
        </w:tc>
        <w:tc>
          <w:tcPr>
            <w:tcW w:type="dxa" w:w="4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Requirement is satisfied by the current design</w:t>
            </w:r>
          </w:p>
        </w:tc>
      </w:tr>
      <w:tr>
        <w:tc>
          <w:tcPr>
            <w:tcW w:type="dxa" w:w="12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bCs/>
                <w:color w:val="7B3F00"/>
                <w:sz w:val="20"/>
                <w:szCs w:val="20"/>
              </w:rPr>
              <w:t xml:space="preserve">Partial</w:t>
            </w:r>
          </w:p>
        </w:tc>
        <w:tc>
          <w:tcPr>
            <w:tcW w:type="dxa" w:w="4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Partially addressed — action needed before Phase 4</w:t>
            </w:r>
          </w:p>
        </w:tc>
      </w:tr>
      <w:tr>
        <w:tc>
          <w:tcPr>
            <w:tcW w:type="dxa" w:w="12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bCs/>
                <w:color w:val="8B0000"/>
                <w:sz w:val="20"/>
                <w:szCs w:val="20"/>
              </w:rPr>
              <w:t xml:space="preserve">Pending</w:t>
            </w:r>
          </w:p>
        </w:tc>
        <w:tc>
          <w:tcPr>
            <w:tcW w:type="dxa" w:w="4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Not yet addressed — must be resolved before deployment</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Section A — GDPR Compliance</w:t>
      </w:r>
    </w:p>
    <w:p>
      <w:pPr>
        <w:spacing w:after="80" w:before="60"/>
      </w:pPr>
      <w:r>
        <w:rPr>
          <w:rFonts w:ascii="Arial" w:cs="Arial" w:eastAsia="Arial" w:hAnsi="Arial"/>
          <w:sz w:val="22"/>
          <w:szCs w:val="22"/>
        </w:rPr>
        <w:t xml:space="preserve">Although no personal data is processed, the following checks confirm that this remains true throughout the system lifecycle.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1600"/>
        <w:gridCol w:w="120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A1</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personal data is collected from users — no name, email, account, or profile</w:t>
            </w:r>
          </w:p>
        </w:tc>
        <w:tc>
          <w:tcPr>
            <w:tcW w:type="dxa" w:w="1600"/>
            <w:tcBorders>
              <w:top w:val="single" w:color="CCCCCC" w:sz="1"/>
              <w:left w:val="single" w:color="CCCCCC" w:sz="1"/>
              <w:bottom w:val="single" w:color="CCCCCC" w:sz="1"/>
              <w:right w:val="single" w:color="CCCCCC" w:sz="1"/>
            </w:tcBorders>
            <w:shd w:fill="D6F0E0" w:val="clear"/>
            <w:tcMar>
              <w:top w:type="dxa" w:w="60"/>
              <w:left w:type="dxa" w:w="120"/>
              <w:bottom w:type="dxa" w:w="60"/>
              <w:right w:type="dxa" w:w="120"/>
            </w:tcMar>
          </w:tcPr>
          <w:p>
            <w:r>
              <w:rPr>
                <w:rFonts w:ascii="Arial" w:cs="Arial" w:eastAsia="Arial" w:hAnsi="Arial"/>
                <w:b/>
                <w:bCs/>
                <w:color w:val="1A6B3C"/>
                <w:sz w:val="20"/>
                <w:szCs w:val="20"/>
              </w:rPr>
              <w:t xml:space="preserve">Met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Spec</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A2</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 IP addresses are logged by the application server</w:t>
            </w:r>
          </w:p>
        </w:tc>
        <w:tc>
          <w:tcPr>
            <w:tcW w:type="dxa" w:w="16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bCs/>
                <w:color w:val="8B0000"/>
                <w:sz w:val="20"/>
                <w:szCs w:val="20"/>
              </w:rPr>
              <w:t xml:space="preserve">Pending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Backend Dev</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A3</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cookies are stored beyond the browser session (no tracking cookies)</w:t>
            </w:r>
          </w:p>
        </w:tc>
        <w:tc>
          <w:tcPr>
            <w:tcW w:type="dxa" w:w="16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bCs/>
                <w:color w:val="8B0000"/>
                <w:sz w:val="20"/>
                <w:szCs w:val="20"/>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Backend Dev</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A4</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All input data sources (Eventbrite, PSV, weather) are public APIs with no personal data in response payloads</w:t>
            </w:r>
          </w:p>
        </w:tc>
        <w:tc>
          <w:tcPr>
            <w:tcW w:type="dxa" w:w="1600"/>
            <w:tcBorders>
              <w:top w:val="single" w:color="CCCCCC" w:sz="1"/>
              <w:left w:val="single" w:color="CCCCCC" w:sz="1"/>
              <w:bottom w:val="single" w:color="CCCCCC" w:sz="1"/>
              <w:right w:val="single" w:color="CCCCCC" w:sz="1"/>
            </w:tcBorders>
            <w:shd w:fill="D6F0E0" w:val="clear"/>
            <w:tcMar>
              <w:top w:type="dxa" w:w="60"/>
              <w:left w:type="dxa" w:w="120"/>
              <w:bottom w:type="dxa" w:w="60"/>
              <w:right w:type="dxa" w:w="120"/>
            </w:tcMar>
          </w:tcPr>
          <w:p>
            <w:r>
              <w:rPr>
                <w:rFonts w:ascii="Arial" w:cs="Arial" w:eastAsia="Arial" w:hAnsi="Arial"/>
                <w:b/>
                <w:bCs/>
                <w:color w:val="1A6B3C"/>
                <w:sz w:val="20"/>
                <w:szCs w:val="20"/>
              </w:rPr>
              <w:t xml:space="preserve">Met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AI Spec</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A5</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user feedback button (thumbs up/down) stores no personal identifier alongside the vote</w:t>
            </w:r>
          </w:p>
        </w:tc>
        <w:tc>
          <w:tcPr>
            <w:tcW w:type="dxa" w:w="16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bCs/>
                <w:color w:val="7B3F00"/>
                <w:sz w:val="20"/>
                <w:szCs w:val="20"/>
              </w:rPr>
              <w:t xml:space="preserve">Partial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Spec</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A6</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The predictions database table contains no fields that could be used to identify individuals</w:t>
            </w:r>
          </w:p>
        </w:tc>
        <w:tc>
          <w:tcPr>
            <w:tcW w:type="dxa" w:w="1600"/>
            <w:tcBorders>
              <w:top w:val="single" w:color="CCCCCC" w:sz="1"/>
              <w:left w:val="single" w:color="CCCCCC" w:sz="1"/>
              <w:bottom w:val="single" w:color="CCCCCC" w:sz="1"/>
              <w:right w:val="single" w:color="CCCCCC" w:sz="1"/>
            </w:tcBorders>
            <w:shd w:fill="D6F0E0" w:val="clear"/>
            <w:tcMar>
              <w:top w:type="dxa" w:w="60"/>
              <w:left w:type="dxa" w:w="120"/>
              <w:bottom w:type="dxa" w:w="60"/>
              <w:right w:type="dxa" w:w="120"/>
            </w:tcMar>
          </w:tcPr>
          <w:p>
            <w:r>
              <w:rPr>
                <w:rFonts w:ascii="Arial" w:cs="Arial" w:eastAsia="Arial" w:hAnsi="Arial"/>
                <w:b/>
                <w:bCs/>
                <w:color w:val="1A6B3C"/>
                <w:sz w:val="20"/>
                <w:szCs w:val="20"/>
              </w:rPr>
              <w:t xml:space="preserve">Met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AI Spec</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A7</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open dataset (D2) to be published contains no personal data or proxy-identifiable data</w:t>
            </w:r>
          </w:p>
        </w:tc>
        <w:tc>
          <w:tcPr>
            <w:tcW w:type="dxa" w:w="16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bCs/>
                <w:color w:val="7B3F00"/>
                <w:sz w:val="20"/>
                <w:szCs w:val="20"/>
              </w:rPr>
              <w:t xml:space="preserve">Partial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 Biz</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A8</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 third-party analytics or tracking scripts (Google Analytics, etc.) are embedded in the frontend</w:t>
            </w:r>
          </w:p>
        </w:tc>
        <w:tc>
          <w:tcPr>
            <w:tcW w:type="dxa" w:w="16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bCs/>
                <w:color w:val="8B0000"/>
                <w:sz w:val="20"/>
                <w:szCs w:val="20"/>
              </w:rPr>
              <w:t xml:space="preserve">Pending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Frontend Dev</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A9</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privacy notice is displayed if any session cookie is used (EU Cookie Law)</w:t>
            </w:r>
          </w:p>
        </w:tc>
        <w:tc>
          <w:tcPr>
            <w:tcW w:type="dxa" w:w="16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bCs/>
                <w:color w:val="8B0000"/>
                <w:sz w:val="20"/>
                <w:szCs w:val="20"/>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Frontend Dev</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Section B — EU AI Act Article 50 (Transparency)</w:t>
      </w:r>
    </w:p>
    <w:p>
      <w:pPr>
        <w:spacing w:after="80" w:before="60"/>
      </w:pPr>
      <w:r>
        <w:rPr>
          <w:rFonts w:ascii="Arial" w:cs="Arial" w:eastAsia="Arial" w:hAnsi="Arial"/>
          <w:sz w:val="22"/>
          <w:szCs w:val="22"/>
        </w:rPr>
        <w:t xml:space="preserve">Article 50 requires that AI systems generating content or making inferences that could be mistaken for human judgment must clearly disclose that AI is involved. Our mood labels fall under this obligation.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1600"/>
        <w:gridCol w:w="12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B1</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Every mood label in the UI is visibly marked as AI-generated (not as a factual or authoritative statement)</w:t>
            </w:r>
          </w:p>
        </w:tc>
        <w:tc>
          <w:tcPr>
            <w:tcW w:type="dxa" w:w="16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bCs/>
                <w:color w:val="7B3F00"/>
                <w:sz w:val="20"/>
                <w:szCs w:val="20"/>
              </w:rPr>
              <w:t xml:space="preserve">Partial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Frontend Dev</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B2</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 confidence score is displayed alongside every mood label</w:t>
            </w:r>
          </w:p>
        </w:tc>
        <w:tc>
          <w:tcPr>
            <w:tcW w:type="dxa" w:w="16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bCs/>
                <w:color w:val="7B3F00"/>
                <w:sz w:val="20"/>
                <w:szCs w:val="20"/>
              </w:rPr>
              <w:t xml:space="preserve">Partial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AI Spec</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B3</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plain-language explanation of what caused the mood score is shown to users</w:t>
            </w:r>
          </w:p>
        </w:tc>
        <w:tc>
          <w:tcPr>
            <w:tcW w:type="dxa" w:w="16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bCs/>
                <w:color w:val="7B3F00"/>
                <w:sz w:val="20"/>
                <w:szCs w:val="20"/>
              </w:rPr>
              <w:t xml:space="preserve">Partial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Spec</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B4</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The Transparency Panel is accessible from the main navigation (not buried)</w:t>
            </w:r>
          </w:p>
        </w:tc>
        <w:tc>
          <w:tcPr>
            <w:tcW w:type="dxa" w:w="16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bCs/>
                <w:color w:val="8B0000"/>
                <w:sz w:val="20"/>
                <w:szCs w:val="20"/>
              </w:rPr>
              <w:t xml:space="preserve">Pending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Frontend Dev</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B5</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Transparency Panel explains the data sources used, the model type, and the known limitations</w:t>
            </w:r>
          </w:p>
        </w:tc>
        <w:tc>
          <w:tcPr>
            <w:tcW w:type="dxa" w:w="1600"/>
            <w:tcBorders>
              <w:top w:val="single" w:color="CCCCCC" w:sz="1"/>
              <w:left w:val="single" w:color="CCCCCC" w:sz="1"/>
              <w:bottom w:val="single" w:color="CCCCCC" w:sz="1"/>
              <w:right w:val="single" w:color="CCCCCC" w:sz="1"/>
            </w:tcBorders>
            <w:shd w:fill="D6F0E0" w:val="clear"/>
            <w:tcMar>
              <w:top w:type="dxa" w:w="60"/>
              <w:left w:type="dxa" w:w="120"/>
              <w:bottom w:type="dxa" w:w="60"/>
              <w:right w:type="dxa" w:w="120"/>
            </w:tcMar>
          </w:tcPr>
          <w:p>
            <w:r>
              <w:rPr>
                <w:rFonts w:ascii="Arial" w:cs="Arial" w:eastAsia="Arial" w:hAnsi="Arial"/>
                <w:b/>
                <w:bCs/>
                <w:color w:val="1A6B3C"/>
                <w:sz w:val="20"/>
                <w:szCs w:val="20"/>
              </w:rPr>
              <w:t xml:space="preserve">Met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Spec</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B6</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The Transparency Panel states the central Eindhoven coverage bias explicitly</w:t>
            </w:r>
          </w:p>
        </w:tc>
        <w:tc>
          <w:tcPr>
            <w:tcW w:type="dxa" w:w="1600"/>
            <w:tcBorders>
              <w:top w:val="single" w:color="CCCCCC" w:sz="1"/>
              <w:left w:val="single" w:color="CCCCCC" w:sz="1"/>
              <w:bottom w:val="single" w:color="CCCCCC" w:sz="1"/>
              <w:right w:val="single" w:color="CCCCCC" w:sz="1"/>
            </w:tcBorders>
            <w:shd w:fill="D6F0E0" w:val="clear"/>
            <w:tcMar>
              <w:top w:type="dxa" w:w="60"/>
              <w:left w:type="dxa" w:w="120"/>
              <w:bottom w:type="dxa" w:w="60"/>
              <w:right w:type="dxa" w:w="120"/>
            </w:tcMar>
          </w:tcPr>
          <w:p>
            <w:r>
              <w:rPr>
                <w:rFonts w:ascii="Arial" w:cs="Arial" w:eastAsia="Arial" w:hAnsi="Arial"/>
                <w:b/>
                <w:bCs/>
                <w:color w:val="1A6B3C"/>
                <w:sz w:val="20"/>
                <w:szCs w:val="20"/>
              </w:rPr>
              <w:t xml:space="preserve">Met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AI Spec</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B7</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Transparency Panel defines what the confidence score means in plain language</w:t>
            </w:r>
          </w:p>
        </w:tc>
        <w:tc>
          <w:tcPr>
            <w:tcW w:type="dxa" w:w="16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bCs/>
                <w:color w:val="7B3F00"/>
                <w:sz w:val="20"/>
                <w:szCs w:val="20"/>
              </w:rPr>
              <w:t xml:space="preserve">Partial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Spec</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B8</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 mood label implies a safety rating, police assessment, or individual behaviour prediction</w:t>
            </w:r>
          </w:p>
        </w:tc>
        <w:tc>
          <w:tcPr>
            <w:tcW w:type="dxa" w:w="1600"/>
            <w:tcBorders>
              <w:top w:val="single" w:color="CCCCCC" w:sz="1"/>
              <w:left w:val="single" w:color="CCCCCC" w:sz="1"/>
              <w:bottom w:val="single" w:color="CCCCCC" w:sz="1"/>
              <w:right w:val="single" w:color="CCCCCC" w:sz="1"/>
            </w:tcBorders>
            <w:shd w:fill="D6F0E0" w:val="clear"/>
            <w:tcMar>
              <w:top w:type="dxa" w:w="60"/>
              <w:left w:type="dxa" w:w="120"/>
              <w:bottom w:type="dxa" w:w="60"/>
              <w:right w:type="dxa" w:w="120"/>
            </w:tcMar>
          </w:tcPr>
          <w:p>
            <w:r>
              <w:rPr>
                <w:rFonts w:ascii="Arial" w:cs="Arial" w:eastAsia="Arial" w:hAnsi="Arial"/>
                <w:b/>
                <w:bCs/>
                <w:color w:val="1A6B3C"/>
                <w:sz w:val="20"/>
                <w:szCs w:val="20"/>
              </w:rPr>
              <w:t xml:space="preserve">Met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AI Spec</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B9</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system does not claim to measure real people's emotions — only activity-derived zone atmosphere</w:t>
            </w:r>
          </w:p>
        </w:tc>
        <w:tc>
          <w:tcPr>
            <w:tcW w:type="dxa" w:w="1600"/>
            <w:tcBorders>
              <w:top w:val="single" w:color="CCCCCC" w:sz="1"/>
              <w:left w:val="single" w:color="CCCCCC" w:sz="1"/>
              <w:bottom w:val="single" w:color="CCCCCC" w:sz="1"/>
              <w:right w:val="single" w:color="CCCCCC" w:sz="1"/>
            </w:tcBorders>
            <w:shd w:fill="D6F0E0" w:val="clear"/>
            <w:tcMar>
              <w:top w:type="dxa" w:w="60"/>
              <w:left w:type="dxa" w:w="120"/>
              <w:bottom w:type="dxa" w:w="60"/>
              <w:right w:type="dxa" w:w="120"/>
            </w:tcMar>
          </w:tcPr>
          <w:p>
            <w:r>
              <w:rPr>
                <w:rFonts w:ascii="Arial" w:cs="Arial" w:eastAsia="Arial" w:hAnsi="Arial"/>
                <w:b/>
                <w:bCs/>
                <w:color w:val="1A6B3C"/>
                <w:sz w:val="20"/>
                <w:szCs w:val="20"/>
              </w:rPr>
              <w:t xml:space="preserve">Met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Spec</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Section C — Non-Intended Uses</w:t>
      </w:r>
    </w:p>
    <w:p>
      <w:pPr>
        <w:spacing w:after="80" w:before="60"/>
      </w:pPr>
      <w:r>
        <w:rPr>
          <w:rFonts w:ascii="Arial" w:cs="Arial" w:eastAsia="Arial" w:hAnsi="Arial"/>
          <w:sz w:val="22"/>
          <w:szCs w:val="22"/>
        </w:rPr>
        <w:t xml:space="preserve">The EU AI Act and the project's own ethical commitments require that prohibited uses are explicitly documented and, where possible, technically mitigated.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1600"/>
        <w:gridCol w:w="1200"/>
      </w:tblGrid>
      <w:tr>
        <w:tc>
          <w:tcPr>
            <w:tcW w:type="dxa" w:w="6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9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C1</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Reflection Document (D4) explicitly lists prohibited uses: policing, crowd control, insurance pricing, individual profiling</w:t>
            </w:r>
          </w:p>
        </w:tc>
        <w:tc>
          <w:tcPr>
            <w:tcW w:type="dxa" w:w="16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bCs/>
                <w:color w:val="8B0000"/>
                <w:sz w:val="20"/>
                <w:szCs w:val="20"/>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 Biz</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C2</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 non-intended uses disclaimer is displayed within the app (not only in the Reflection Document)</w:t>
            </w:r>
          </w:p>
        </w:tc>
        <w:tc>
          <w:tcPr>
            <w:tcW w:type="dxa" w:w="16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bCs/>
                <w:color w:val="8B0000"/>
                <w:sz w:val="20"/>
                <w:szCs w:val="20"/>
              </w:rPr>
              <w:t xml:space="preserve">Pending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Frontend Dev</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C3</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open dataset (D2) README explicitly states prohibited uses and references the project's ethical framework</w:t>
            </w:r>
          </w:p>
        </w:tc>
        <w:tc>
          <w:tcPr>
            <w:tcW w:type="dxa" w:w="16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bCs/>
                <w:color w:val="8B0000"/>
                <w:sz w:val="20"/>
                <w:szCs w:val="20"/>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Biz Spec</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C4</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The system has no API endpoint or export feature that could facilitate bulk surveillance use</w:t>
            </w:r>
          </w:p>
        </w:tc>
        <w:tc>
          <w:tcPr>
            <w:tcW w:type="dxa" w:w="1600"/>
            <w:tcBorders>
              <w:top w:val="single" w:color="CCCCCC" w:sz="1"/>
              <w:left w:val="single" w:color="CCCCCC" w:sz="1"/>
              <w:bottom w:val="single" w:color="CCCCCC" w:sz="1"/>
              <w:right w:val="single" w:color="CCCCCC" w:sz="1"/>
            </w:tcBorders>
            <w:shd w:fill="D6F0E0" w:val="clear"/>
            <w:tcMar>
              <w:top w:type="dxa" w:w="60"/>
              <w:left w:type="dxa" w:w="120"/>
              <w:bottom w:type="dxa" w:w="60"/>
              <w:right w:type="dxa" w:w="120"/>
            </w:tcMar>
          </w:tcPr>
          <w:p>
            <w:r>
              <w:rPr>
                <w:rFonts w:ascii="Arial" w:cs="Arial" w:eastAsia="Arial" w:hAnsi="Arial"/>
                <w:b/>
                <w:bCs/>
                <w:color w:val="1A6B3C"/>
                <w:sz w:val="20"/>
                <w:szCs w:val="20"/>
              </w:rPr>
              <w:t xml:space="preserve">Met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Backend Dev</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C5</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Mood labels are presented as estimates, not as authoritative assessments of neighbourhood safety</w:t>
            </w:r>
          </w:p>
        </w:tc>
        <w:tc>
          <w:tcPr>
            <w:tcW w:type="dxa" w:w="16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bCs/>
                <w:color w:val="7B3F00"/>
                <w:sz w:val="20"/>
                <w:szCs w:val="20"/>
              </w:rPr>
              <w:t xml:space="preserve">Partial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Frontend Dev</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Section D — Bias &amp; Fairness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1600"/>
        <w:gridCol w:w="1200"/>
      </w:tblGrid>
      <w:tr>
        <w:tc>
          <w:tcPr>
            <w:tcW w:type="dxa" w:w="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9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D1</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central Eindhoven coverage bias (Eventbrite skew) is documented and disclosed in the Transparency Panel</w:t>
            </w:r>
          </w:p>
        </w:tc>
        <w:tc>
          <w:tcPr>
            <w:tcW w:type="dxa" w:w="1600"/>
            <w:tcBorders>
              <w:top w:val="single" w:color="CCCCCC" w:sz="1"/>
              <w:left w:val="single" w:color="CCCCCC" w:sz="1"/>
              <w:bottom w:val="single" w:color="CCCCCC" w:sz="1"/>
              <w:right w:val="single" w:color="CCCCCC" w:sz="1"/>
            </w:tcBorders>
            <w:shd w:fill="D6F0E0" w:val="clear"/>
            <w:tcMar>
              <w:top w:type="dxa" w:w="60"/>
              <w:left w:type="dxa" w:w="120"/>
              <w:bottom w:type="dxa" w:w="60"/>
              <w:right w:type="dxa" w:w="120"/>
            </w:tcMar>
          </w:tcPr>
          <w:p>
            <w:r>
              <w:rPr>
                <w:rFonts w:ascii="Arial" w:cs="Arial" w:eastAsia="Arial" w:hAnsi="Arial"/>
                <w:b/>
                <w:bCs/>
                <w:color w:val="1A6B3C"/>
                <w:sz w:val="20"/>
                <w:szCs w:val="20"/>
              </w:rPr>
              <w:t xml:space="preserve">Met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Spec</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D2</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The training data label distribution is checked before model training — at least 8 examples per mood class</w:t>
            </w:r>
          </w:p>
        </w:tc>
        <w:tc>
          <w:tcPr>
            <w:tcW w:type="dxa" w:w="16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bCs/>
                <w:color w:val="8B0000"/>
                <w:sz w:val="20"/>
                <w:szCs w:val="20"/>
              </w:rPr>
              <w:t xml:space="preserve">Pending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AI Spec</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D3</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 feature importance scores are logged after training and reviewed by the AI specialist</w:t>
            </w:r>
          </w:p>
        </w:tc>
        <w:tc>
          <w:tcPr>
            <w:tcW w:type="dxa" w:w="16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bCs/>
                <w:color w:val="8B0000"/>
                <w:sz w:val="20"/>
                <w:szCs w:val="20"/>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Spec</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D4</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Weekly prediction reviews are scheduled during Phase 3 to detect zones stuck on one label</w:t>
            </w:r>
          </w:p>
        </w:tc>
        <w:tc>
          <w:tcPr>
            <w:tcW w:type="dxa" w:w="16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bCs/>
                <w:color w:val="8B0000"/>
                <w:sz w:val="20"/>
                <w:szCs w:val="20"/>
              </w:rPr>
              <w:t xml:space="preserve">Pending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AI Spec</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D5</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reflection document acknowledges that training labels were created by the team, not by residents</w:t>
            </w:r>
          </w:p>
        </w:tc>
        <w:tc>
          <w:tcPr>
            <w:tcW w:type="dxa" w:w="16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bCs/>
                <w:color w:val="8B0000"/>
                <w:sz w:val="20"/>
                <w:szCs w:val="20"/>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Spec</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D6</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The PSV match signal is scoped to relevant zones only — not applied uniformly across all zones</w:t>
            </w:r>
          </w:p>
        </w:tc>
        <w:tc>
          <w:tcPr>
            <w:tcW w:type="dxa" w:w="16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bCs/>
                <w:color w:val="7B3F00"/>
                <w:sz w:val="20"/>
                <w:szCs w:val="20"/>
              </w:rPr>
              <w:t xml:space="preserve">Partial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AI Spec</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Section E —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1600"/>
        <w:gridCol w:w="1200"/>
      </w:tblGrid>
      <w:tr>
        <w:tc>
          <w:tcPr>
            <w:tcW w:type="dxa" w:w="6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9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E1</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API keys are stored as environment variables — none are hardcoded in source code</w:t>
            </w:r>
          </w:p>
        </w:tc>
        <w:tc>
          <w:tcPr>
            <w:tcW w:type="dxa" w:w="16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bCs/>
                <w:color w:val="8B0000"/>
                <w:sz w:val="20"/>
                <w:szCs w:val="20"/>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Backend Dev</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E2</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 .gitignore file excludes .env files from the repository from the first commit</w:t>
            </w:r>
          </w:p>
        </w:tc>
        <w:tc>
          <w:tcPr>
            <w:tcW w:type="dxa" w:w="16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bCs/>
                <w:color w:val="8B0000"/>
                <w:sz w:val="20"/>
                <w:szCs w:val="20"/>
              </w:rPr>
              <w:t xml:space="preserve">Pending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Backend Dev</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E3</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Render.com backend uses HTTPS for all endpoints — no plain HTTP</w:t>
            </w:r>
          </w:p>
        </w:tc>
        <w:tc>
          <w:tcPr>
            <w:tcW w:type="dxa" w:w="16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bCs/>
                <w:color w:val="8B0000"/>
                <w:sz w:val="20"/>
                <w:szCs w:val="20"/>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Backend Dev</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E4</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The PostgreSQL database is not publicly accessible — only accessible from the backend service</w:t>
            </w:r>
          </w:p>
        </w:tc>
        <w:tc>
          <w:tcPr>
            <w:tcW w:type="dxa" w:w="16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bCs/>
                <w:color w:val="8B0000"/>
                <w:sz w:val="20"/>
                <w:szCs w:val="20"/>
              </w:rPr>
              <w:t xml:space="preserve">Pending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Backend Dev</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E5</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prediction API endpoint does not expose raw model parameters or training data</w:t>
            </w:r>
          </w:p>
        </w:tc>
        <w:tc>
          <w:tcPr>
            <w:tcW w:type="dxa" w:w="1600"/>
            <w:tcBorders>
              <w:top w:val="single" w:color="CCCCCC" w:sz="1"/>
              <w:left w:val="single" w:color="CCCCCC" w:sz="1"/>
              <w:bottom w:val="single" w:color="CCCCCC" w:sz="1"/>
              <w:right w:val="single" w:color="CCCCCC" w:sz="1"/>
            </w:tcBorders>
            <w:shd w:fill="D6F0E0" w:val="clear"/>
            <w:tcMar>
              <w:top w:type="dxa" w:w="60"/>
              <w:left w:type="dxa" w:w="120"/>
              <w:bottom w:type="dxa" w:w="60"/>
              <w:right w:type="dxa" w:w="120"/>
            </w:tcMar>
          </w:tcPr>
          <w:p>
            <w:r>
              <w:rPr>
                <w:rFonts w:ascii="Arial" w:cs="Arial" w:eastAsia="Arial" w:hAnsi="Arial"/>
                <w:b/>
                <w:bCs/>
                <w:color w:val="1A6B3C"/>
                <w:sz w:val="20"/>
                <w:szCs w:val="20"/>
              </w:rPr>
              <w:t xml:space="preserve">Met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Spec</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E6</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Dependencies are pinned in requirements.txt (Python) and package-lock.json (Node.js)</w:t>
            </w:r>
          </w:p>
        </w:tc>
        <w:tc>
          <w:tcPr>
            <w:tcW w:type="dxa" w:w="16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bCs/>
                <w:color w:val="8B0000"/>
                <w:sz w:val="20"/>
                <w:szCs w:val="20"/>
              </w:rPr>
              <w:t xml:space="preserve">Pending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Backend Dev</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Open Actions Summary</w:t>
      </w:r>
    </w:p>
    <w:p>
      <w:pPr>
        <w:spacing w:after="80" w:before="60"/>
      </w:pPr>
      <w:r>
        <w:rPr>
          <w:rFonts w:ascii="Arial" w:cs="Arial" w:eastAsia="Arial" w:hAnsi="Arial"/>
          <w:sz w:val="22"/>
          <w:szCs w:val="22"/>
        </w:rPr>
        <w:t xml:space="preserve">Items that are Partial or Pending and must be resolved before Phase 4 final delivery: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360"/>
        <w:gridCol w:w="32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Phase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A2</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Confirm no IP logging in Node.js server configuration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Phase 2 start</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A3/A8</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Audit frontend for tracking cookies and third-party analytics scripts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Phase 2 start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Confirm feedback button stores no identifier with vote data — verify DB schema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Phase 2</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A7</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Review open dataset export for any inadvertent personal data before D2 publication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Phase 4</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A9</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Add cookie notice if any session cookie is used beyond functional need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Phase 3</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B1</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Add 'AI-generated' badge to every mood card in the frontend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Phase 3</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B2/B3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Implement confidence score and explanation string display in mood cards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Phase 3</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B4</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Add Transparency Panel link to main navigation bar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Phase 3</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B7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Write plain-language definition of confidence score for Transparency Panel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Phase 3</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C1/C3</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Complete Reflection Document (D4) with prohibited uses list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Phase 4</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C2</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Add non-intended uses disclaimer text to app map view</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Phase 3</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D2</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Verify label distribution before training — flag if any class has fewer than 8 examples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Phase 2</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Log and review feature importance after model training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Phase 2</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D4/D6</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Implement prediction logging and weekly review process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Phase 3</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E1–E4/E6</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Security checklist: env vars, HTTPS, DB access, pinned dependencies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Phase 2 start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REVISIT</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This checklist must be reviewed and all Pending items resolved before the final grading session on June 21, 2026. The AI/Security Specialist owns Sections A–D. Section E is shared with the backend developer.</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95959"/>
        <w:sz w:val="18"/>
        <w:szCs w:val="18"/>
      </w:rPr>
      <w:t xml:space="preserve">Eindhoven Mood Radar — GDPR &amp; EU AI Act Compliance Checklist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2026-04-13T10:38:36.927Z</dcterms:created>
  <dcterms:modified xsi:type="dcterms:W3CDTF">2026-04-13T10:38:36.928Z</dcterms:modified>
</cp:coreProperties>
</file>

<file path=docProps/custom.xml><?xml version="1.0" encoding="utf-8"?>
<Properties xmlns="http://schemas.openxmlformats.org/officeDocument/2006/custom-properties" xmlns:vt="http://schemas.openxmlformats.org/officeDocument/2006/docPropsVTypes"/>
</file>