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2DC3" w:rsidRPr="00114D08" w:rsidRDefault="00222DC3" w:rsidP="00222DC3">
      <w:pPr>
        <w:pStyle w:val="CompanyName"/>
      </w:pPr>
    </w:p>
    <w:tbl>
      <w:tblPr>
        <w:tblW w:w="0" w:type="auto"/>
        <w:tblLook w:val="01E0" w:firstRow="1" w:lastRow="1" w:firstColumn="1" w:lastColumn="1" w:noHBand="0" w:noVBand="0"/>
      </w:tblPr>
      <w:tblGrid>
        <w:gridCol w:w="9468"/>
      </w:tblGrid>
      <w:tr w:rsidR="008B3B7F" w:rsidRPr="00114D08" w:rsidTr="000E68BD">
        <w:trPr>
          <w:trHeight w:val="443"/>
        </w:trPr>
        <w:tc>
          <w:tcPr>
            <w:tcW w:w="9468" w:type="dxa"/>
            <w:vAlign w:val="center"/>
          </w:tcPr>
          <w:p w:rsidR="008B3B7F" w:rsidRPr="0060532A" w:rsidRDefault="00BD5F17" w:rsidP="006A77BC">
            <w:pPr>
              <w:pStyle w:val="CompanyName"/>
            </w:pPr>
            <w:r>
              <w:fldChar w:fldCharType="begin"/>
            </w:r>
            <w:r>
              <w:instrText xml:space="preserve"> DOCPROPERTY  Company  \* MERGEFORMAT </w:instrText>
            </w:r>
            <w:r>
              <w:fldChar w:fldCharType="separate"/>
            </w:r>
            <w:r w:rsidR="007B0610">
              <w:t>EPAM Systems, RD Dep.</w:t>
            </w:r>
            <w:r>
              <w:fldChar w:fldCharType="end"/>
            </w:r>
            <w:r w:rsidR="0060532A" w:rsidRPr="00430228">
              <w:t>, RD Dep.</w:t>
            </w:r>
          </w:p>
        </w:tc>
      </w:tr>
      <w:tr w:rsidR="008B3B7F" w:rsidRPr="00114D08" w:rsidTr="000E68BD">
        <w:trPr>
          <w:trHeight w:val="895"/>
        </w:trPr>
        <w:tc>
          <w:tcPr>
            <w:tcW w:w="9468" w:type="dxa"/>
          </w:tcPr>
          <w:p w:rsidR="0060532A" w:rsidRPr="0060532A" w:rsidRDefault="0060532A" w:rsidP="0060532A"/>
          <w:p w:rsidR="008B3B7F" w:rsidRDefault="00BD5F17" w:rsidP="000E68BD">
            <w:pPr>
              <w:pStyle w:val="TitleSubject"/>
              <w:pBdr>
                <w:bottom w:val="none" w:sz="0" w:space="0" w:color="auto"/>
              </w:pBdr>
              <w:spacing w:line="480" w:lineRule="exact"/>
            </w:pPr>
            <w:r>
              <w:fldChar w:fldCharType="begin"/>
            </w:r>
            <w:r>
              <w:instrText xml:space="preserve"> DOCPROPERTY  Title  \* MERGEFORMAT </w:instrText>
            </w:r>
            <w:r>
              <w:fldChar w:fldCharType="separate"/>
            </w:r>
            <w:r w:rsidR="007B0610">
              <w:t>MTN.BI.03 SQL for Analysis</w:t>
            </w:r>
            <w:r>
              <w:fldChar w:fldCharType="end"/>
            </w:r>
          </w:p>
          <w:p w:rsidR="009302FF" w:rsidRPr="009302FF" w:rsidRDefault="009302FF" w:rsidP="009302FF"/>
          <w:p w:rsidR="00913963" w:rsidRDefault="00913963" w:rsidP="00913963">
            <w:pPr>
              <w:jc w:val="right"/>
              <w:rPr>
                <w:rFonts w:ascii="Arial" w:hAnsi="Arial" w:cs="Arial"/>
                <w:b/>
                <w:sz w:val="44"/>
                <w:szCs w:val="44"/>
              </w:rPr>
            </w:pPr>
            <w:r>
              <w:rPr>
                <w:rFonts w:ascii="Arial" w:hAnsi="Arial" w:cs="Arial"/>
                <w:b/>
                <w:sz w:val="44"/>
                <w:szCs w:val="44"/>
              </w:rPr>
              <w:t>Windowing Aggregate Functions</w:t>
            </w:r>
          </w:p>
          <w:p w:rsidR="009302FF" w:rsidRPr="009302FF" w:rsidRDefault="009302FF" w:rsidP="00913963">
            <w:pPr>
              <w:jc w:val="right"/>
              <w:rPr>
                <w:rFonts w:ascii="Arial" w:hAnsi="Arial" w:cs="Arial"/>
                <w:b/>
                <w:sz w:val="44"/>
                <w:szCs w:val="44"/>
              </w:rPr>
            </w:pP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2209"/>
        <w:gridCol w:w="1800"/>
        <w:gridCol w:w="1519"/>
        <w:gridCol w:w="1559"/>
        <w:gridCol w:w="1422"/>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222DC3" w:rsidRPr="00114D08">
        <w:tc>
          <w:tcPr>
            <w:tcW w:w="851" w:type="dxa"/>
            <w:tcMar>
              <w:top w:w="57" w:type="dxa"/>
            </w:tcMar>
          </w:tcPr>
          <w:p w:rsidR="00222DC3" w:rsidRPr="00114D08" w:rsidRDefault="00925A88" w:rsidP="00925A88">
            <w:pPr>
              <w:pStyle w:val="TableText"/>
              <w:jc w:val="center"/>
              <w:rPr>
                <w:rFonts w:cs="Arial"/>
                <w:sz w:val="16"/>
                <w:szCs w:val="16"/>
                <w:lang w:val="en-US"/>
              </w:rPr>
            </w:pPr>
            <w:r>
              <w:rPr>
                <w:rFonts w:cs="Arial"/>
                <w:sz w:val="16"/>
                <w:szCs w:val="16"/>
                <w:lang w:val="en-US"/>
              </w:rPr>
              <w:t>1</w:t>
            </w:r>
            <w:r w:rsidR="00222DC3" w:rsidRPr="00114D08">
              <w:rPr>
                <w:rFonts w:cs="Arial"/>
                <w:sz w:val="16"/>
                <w:szCs w:val="16"/>
                <w:lang w:val="en-US"/>
              </w:rPr>
              <w:t>.</w:t>
            </w:r>
            <w:r>
              <w:rPr>
                <w:rFonts w:cs="Arial"/>
                <w:sz w:val="16"/>
                <w:szCs w:val="16"/>
                <w:lang w:val="en-US"/>
              </w:rPr>
              <w:t>0</w:t>
            </w:r>
          </w:p>
        </w:tc>
        <w:tc>
          <w:tcPr>
            <w:tcW w:w="2209" w:type="dxa"/>
            <w:tcMar>
              <w:top w:w="57" w:type="dxa"/>
            </w:tcMar>
          </w:tcPr>
          <w:p w:rsidR="00222DC3" w:rsidRPr="00114D08" w:rsidRDefault="00925A88" w:rsidP="00A37131">
            <w:pPr>
              <w:pStyle w:val="TableText"/>
              <w:rPr>
                <w:rFonts w:cs="Arial"/>
                <w:sz w:val="16"/>
                <w:szCs w:val="16"/>
                <w:lang w:val="en-US"/>
              </w:rPr>
            </w:pPr>
            <w:r>
              <w:rPr>
                <w:rFonts w:cs="Arial"/>
                <w:sz w:val="16"/>
                <w:szCs w:val="16"/>
                <w:lang w:val="en-US"/>
              </w:rPr>
              <w:t>Initial Version</w:t>
            </w:r>
          </w:p>
        </w:tc>
        <w:tc>
          <w:tcPr>
            <w:tcW w:w="1800" w:type="dxa"/>
            <w:tcMar>
              <w:top w:w="57" w:type="dxa"/>
            </w:tcMar>
          </w:tcPr>
          <w:p w:rsidR="00222DC3" w:rsidRPr="00114D08" w:rsidRDefault="00925A88" w:rsidP="00A37131">
            <w:pPr>
              <w:pStyle w:val="TableText"/>
              <w:rPr>
                <w:rFonts w:cs="Arial"/>
                <w:sz w:val="16"/>
                <w:szCs w:val="16"/>
                <w:lang w:val="en-US"/>
              </w:rPr>
            </w:pPr>
            <w:r w:rsidRPr="00925A88">
              <w:rPr>
                <w:rFonts w:cs="Arial"/>
                <w:sz w:val="16"/>
                <w:szCs w:val="16"/>
                <w:lang w:val="en-US"/>
              </w:rPr>
              <w:t>Aliaksei Belablotski</w:t>
            </w:r>
          </w:p>
        </w:tc>
        <w:tc>
          <w:tcPr>
            <w:tcW w:w="1519" w:type="dxa"/>
            <w:tcMar>
              <w:top w:w="57" w:type="dxa"/>
            </w:tcMar>
          </w:tcPr>
          <w:p w:rsidR="00222DC3" w:rsidRPr="00114D08" w:rsidRDefault="00913963" w:rsidP="00925A88">
            <w:pPr>
              <w:pStyle w:val="TableText"/>
              <w:jc w:val="center"/>
              <w:rPr>
                <w:rFonts w:cs="Arial"/>
                <w:sz w:val="16"/>
                <w:szCs w:val="16"/>
                <w:lang w:val="en-US"/>
              </w:rPr>
            </w:pPr>
            <w:r>
              <w:rPr>
                <w:rFonts w:cs="Arial"/>
                <w:sz w:val="16"/>
                <w:szCs w:val="16"/>
                <w:lang w:val="en-US"/>
              </w:rPr>
              <w:t>15</w:t>
            </w:r>
            <w:r w:rsidR="00222DC3" w:rsidRPr="00114D08">
              <w:rPr>
                <w:rFonts w:cs="Arial"/>
                <w:sz w:val="16"/>
                <w:szCs w:val="16"/>
                <w:lang w:val="en-US"/>
              </w:rPr>
              <w:t>-</w:t>
            </w:r>
            <w:r w:rsidR="00925A88">
              <w:rPr>
                <w:rFonts w:cs="Arial"/>
                <w:sz w:val="16"/>
                <w:szCs w:val="16"/>
                <w:lang w:val="en-US"/>
              </w:rPr>
              <w:t>Feb</w:t>
            </w:r>
            <w:r w:rsidR="00222DC3" w:rsidRPr="00114D08">
              <w:rPr>
                <w:rFonts w:cs="Arial"/>
                <w:sz w:val="16"/>
                <w:szCs w:val="16"/>
                <w:lang w:val="en-US"/>
              </w:rPr>
              <w:t>-</w:t>
            </w:r>
            <w:r w:rsidR="00925A88">
              <w:rPr>
                <w:rFonts w:cs="Arial"/>
                <w:sz w:val="16"/>
                <w:szCs w:val="16"/>
                <w:lang w:val="en-US"/>
              </w:rPr>
              <w:t>2012</w:t>
            </w: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r w:rsidR="00222DC3" w:rsidRPr="00114D08">
        <w:tc>
          <w:tcPr>
            <w:tcW w:w="851" w:type="dxa"/>
            <w:tcMar>
              <w:top w:w="57" w:type="dxa"/>
            </w:tcMar>
          </w:tcPr>
          <w:p w:rsidR="00222DC3" w:rsidRPr="00114D08" w:rsidRDefault="00222DC3" w:rsidP="00C63011">
            <w:pPr>
              <w:pStyle w:val="TableText"/>
              <w:jc w:val="center"/>
              <w:rPr>
                <w:rFonts w:cs="Arial"/>
                <w:sz w:val="16"/>
                <w:szCs w:val="16"/>
                <w:lang w:val="en-US"/>
              </w:rPr>
            </w:pPr>
          </w:p>
        </w:tc>
        <w:tc>
          <w:tcPr>
            <w:tcW w:w="2209" w:type="dxa"/>
            <w:tcMar>
              <w:top w:w="57" w:type="dxa"/>
            </w:tcMar>
          </w:tcPr>
          <w:p w:rsidR="00222DC3" w:rsidRPr="00114D08" w:rsidRDefault="00222DC3" w:rsidP="00A37131">
            <w:pPr>
              <w:pStyle w:val="TableText"/>
              <w:rPr>
                <w:rFonts w:cs="Arial"/>
                <w:sz w:val="16"/>
                <w:szCs w:val="16"/>
                <w:lang w:val="en-US"/>
              </w:rPr>
            </w:pPr>
          </w:p>
        </w:tc>
        <w:tc>
          <w:tcPr>
            <w:tcW w:w="1800" w:type="dxa"/>
            <w:tcMar>
              <w:top w:w="57" w:type="dxa"/>
            </w:tcMar>
          </w:tcPr>
          <w:p w:rsidR="00222DC3" w:rsidRPr="00114D08" w:rsidRDefault="00222DC3" w:rsidP="00A37131">
            <w:pPr>
              <w:pStyle w:val="TableText"/>
              <w:rPr>
                <w:rFonts w:cs="Arial"/>
                <w:sz w:val="16"/>
                <w:szCs w:val="16"/>
                <w:lang w:val="en-US"/>
              </w:rPr>
            </w:pPr>
          </w:p>
        </w:tc>
        <w:tc>
          <w:tcPr>
            <w:tcW w:w="1519" w:type="dxa"/>
            <w:tcMar>
              <w:top w:w="57" w:type="dxa"/>
            </w:tcMar>
          </w:tcPr>
          <w:p w:rsidR="00222DC3" w:rsidRPr="00114D08" w:rsidRDefault="00222DC3" w:rsidP="00C63011">
            <w:pPr>
              <w:pStyle w:val="TableText"/>
              <w:jc w:val="center"/>
              <w:rPr>
                <w:rFonts w:cs="Arial"/>
                <w:sz w:val="16"/>
                <w:szCs w:val="16"/>
                <w:lang w:val="en-US"/>
              </w:rPr>
            </w:pPr>
          </w:p>
        </w:tc>
        <w:tc>
          <w:tcPr>
            <w:tcW w:w="1559" w:type="dxa"/>
            <w:tcMar>
              <w:top w:w="57" w:type="dxa"/>
            </w:tcMar>
          </w:tcPr>
          <w:p w:rsidR="00222DC3" w:rsidRPr="00114D08" w:rsidRDefault="00222DC3" w:rsidP="00A37131">
            <w:pPr>
              <w:pStyle w:val="TableText"/>
              <w:rPr>
                <w:rFonts w:cs="Arial"/>
                <w:sz w:val="16"/>
                <w:szCs w:val="16"/>
                <w:lang w:val="en-US"/>
              </w:rPr>
            </w:pPr>
          </w:p>
        </w:tc>
        <w:tc>
          <w:tcPr>
            <w:tcW w:w="1422" w:type="dxa"/>
            <w:tcMar>
              <w:top w:w="57" w:type="dxa"/>
            </w:tcMar>
          </w:tcPr>
          <w:p w:rsidR="00222DC3" w:rsidRPr="00114D08" w:rsidRDefault="00222DC3"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8"/>
          <w:footerReference w:type="default" r:id="rId9"/>
          <w:headerReference w:type="first" r:id="rId10"/>
          <w:footerReference w:type="first" r:id="rId11"/>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7B0610" w:rsidRDefault="00222DC3">
      <w:pPr>
        <w:pStyle w:val="TOC1"/>
        <w:tabs>
          <w:tab w:val="left" w:pos="400"/>
          <w:tab w:val="right" w:leader="dot" w:pos="9347"/>
        </w:tabs>
        <w:rPr>
          <w:rFonts w:asciiTheme="minorHAnsi" w:eastAsiaTheme="minorEastAsia" w:hAnsiTheme="minorHAnsi" w:cstheme="minorBidi"/>
          <w:b w:val="0"/>
          <w:bCs w:val="0"/>
          <w:caps w:val="0"/>
          <w:noProof/>
          <w:sz w:val="22"/>
          <w:szCs w:val="22"/>
        </w:rPr>
      </w:pPr>
      <w:r w:rsidRPr="00114D08">
        <w:fldChar w:fldCharType="begin"/>
      </w:r>
      <w:r w:rsidRPr="00114D08">
        <w:instrText xml:space="preserve"> TOC \o "1-3" \h \z </w:instrText>
      </w:r>
      <w:r w:rsidRPr="00114D08">
        <w:fldChar w:fldCharType="separate"/>
      </w:r>
      <w:hyperlink w:anchor="_Toc317444335" w:history="1">
        <w:r w:rsidR="007B0610" w:rsidRPr="00172510">
          <w:rPr>
            <w:rStyle w:val="Hyperlink"/>
            <w:noProof/>
          </w:rPr>
          <w:t>1.</w:t>
        </w:r>
        <w:r w:rsidR="007B0610">
          <w:rPr>
            <w:rFonts w:asciiTheme="minorHAnsi" w:eastAsiaTheme="minorEastAsia" w:hAnsiTheme="minorHAnsi" w:cstheme="minorBidi"/>
            <w:b w:val="0"/>
            <w:bCs w:val="0"/>
            <w:caps w:val="0"/>
            <w:noProof/>
            <w:sz w:val="22"/>
            <w:szCs w:val="22"/>
          </w:rPr>
          <w:tab/>
        </w:r>
        <w:r w:rsidR="007B0610" w:rsidRPr="00172510">
          <w:rPr>
            <w:rStyle w:val="Hyperlink"/>
            <w:noProof/>
          </w:rPr>
          <w:t>Windowing Aggregate Functions</w:t>
        </w:r>
        <w:r w:rsidR="007B0610">
          <w:rPr>
            <w:noProof/>
            <w:webHidden/>
          </w:rPr>
          <w:tab/>
        </w:r>
        <w:r w:rsidR="007B0610">
          <w:rPr>
            <w:noProof/>
            <w:webHidden/>
          </w:rPr>
          <w:fldChar w:fldCharType="begin"/>
        </w:r>
        <w:r w:rsidR="007B0610">
          <w:rPr>
            <w:noProof/>
            <w:webHidden/>
          </w:rPr>
          <w:instrText xml:space="preserve"> PAGEREF _Toc317444335 \h </w:instrText>
        </w:r>
        <w:r w:rsidR="007B0610">
          <w:rPr>
            <w:noProof/>
            <w:webHidden/>
          </w:rPr>
        </w:r>
        <w:r w:rsidR="007B0610">
          <w:rPr>
            <w:noProof/>
            <w:webHidden/>
          </w:rPr>
          <w:fldChar w:fldCharType="separate"/>
        </w:r>
        <w:r w:rsidR="007B0610">
          <w:rPr>
            <w:noProof/>
            <w:webHidden/>
          </w:rPr>
          <w:t>3</w:t>
        </w:r>
        <w:r w:rsidR="007B0610">
          <w:rPr>
            <w:noProof/>
            <w:webHidden/>
          </w:rPr>
          <w:fldChar w:fldCharType="end"/>
        </w:r>
      </w:hyperlink>
    </w:p>
    <w:p w:rsidR="007B0610" w:rsidRDefault="007B0610">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4336" w:history="1">
        <w:r w:rsidRPr="00172510">
          <w:rPr>
            <w:rStyle w:val="Hyperlink"/>
            <w:noProof/>
          </w:rPr>
          <w:t>1.1.</w:t>
        </w:r>
        <w:r>
          <w:rPr>
            <w:rFonts w:asciiTheme="minorHAnsi" w:eastAsiaTheme="minorEastAsia" w:hAnsiTheme="minorHAnsi" w:cstheme="minorBidi"/>
            <w:smallCaps w:val="0"/>
            <w:noProof/>
            <w:sz w:val="22"/>
            <w:szCs w:val="22"/>
          </w:rPr>
          <w:tab/>
        </w:r>
        <w:r w:rsidRPr="00172510">
          <w:rPr>
            <w:rStyle w:val="Hyperlink"/>
            <w:noProof/>
          </w:rPr>
          <w:t>Oracle Analytic Functions</w:t>
        </w:r>
        <w:r>
          <w:rPr>
            <w:noProof/>
            <w:webHidden/>
          </w:rPr>
          <w:tab/>
        </w:r>
        <w:r>
          <w:rPr>
            <w:noProof/>
            <w:webHidden/>
          </w:rPr>
          <w:fldChar w:fldCharType="begin"/>
        </w:r>
        <w:r>
          <w:rPr>
            <w:noProof/>
            <w:webHidden/>
          </w:rPr>
          <w:instrText xml:space="preserve"> PAGEREF _Toc317444336 \h </w:instrText>
        </w:r>
        <w:r>
          <w:rPr>
            <w:noProof/>
            <w:webHidden/>
          </w:rPr>
        </w:r>
        <w:r>
          <w:rPr>
            <w:noProof/>
            <w:webHidden/>
          </w:rPr>
          <w:fldChar w:fldCharType="separate"/>
        </w:r>
        <w:r>
          <w:rPr>
            <w:noProof/>
            <w:webHidden/>
          </w:rPr>
          <w:t>3</w:t>
        </w:r>
        <w:r>
          <w:rPr>
            <w:noProof/>
            <w:webHidden/>
          </w:rPr>
          <w:fldChar w:fldCharType="end"/>
        </w:r>
      </w:hyperlink>
    </w:p>
    <w:p w:rsidR="007B0610" w:rsidRDefault="007B0610">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4337" w:history="1">
        <w:r w:rsidRPr="00172510">
          <w:rPr>
            <w:rStyle w:val="Hyperlink"/>
            <w:noProof/>
          </w:rPr>
          <w:t>1.2.</w:t>
        </w:r>
        <w:r>
          <w:rPr>
            <w:rFonts w:asciiTheme="minorHAnsi" w:eastAsiaTheme="minorEastAsia" w:hAnsiTheme="minorHAnsi" w:cstheme="minorBidi"/>
            <w:smallCaps w:val="0"/>
            <w:noProof/>
            <w:sz w:val="22"/>
            <w:szCs w:val="22"/>
          </w:rPr>
          <w:tab/>
        </w:r>
        <w:r w:rsidRPr="00172510">
          <w:rPr>
            <w:rStyle w:val="Hyperlink"/>
            <w:noProof/>
          </w:rPr>
          <w:t>Essential Concepts of Analytic Functions</w:t>
        </w:r>
        <w:r>
          <w:rPr>
            <w:noProof/>
            <w:webHidden/>
          </w:rPr>
          <w:tab/>
        </w:r>
        <w:r>
          <w:rPr>
            <w:noProof/>
            <w:webHidden/>
          </w:rPr>
          <w:fldChar w:fldCharType="begin"/>
        </w:r>
        <w:r>
          <w:rPr>
            <w:noProof/>
            <w:webHidden/>
          </w:rPr>
          <w:instrText xml:space="preserve"> PAGEREF _Toc317444337 \h </w:instrText>
        </w:r>
        <w:r>
          <w:rPr>
            <w:noProof/>
            <w:webHidden/>
          </w:rPr>
        </w:r>
        <w:r>
          <w:rPr>
            <w:noProof/>
            <w:webHidden/>
          </w:rPr>
          <w:fldChar w:fldCharType="separate"/>
        </w:r>
        <w:r>
          <w:rPr>
            <w:noProof/>
            <w:webHidden/>
          </w:rPr>
          <w:t>4</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38" w:history="1">
        <w:r w:rsidRPr="00172510">
          <w:rPr>
            <w:rStyle w:val="Hyperlink"/>
            <w:noProof/>
          </w:rPr>
          <w:t>1.2.1.</w:t>
        </w:r>
        <w:r>
          <w:rPr>
            <w:rFonts w:asciiTheme="minorHAnsi" w:eastAsiaTheme="minorEastAsia" w:hAnsiTheme="minorHAnsi" w:cstheme="minorBidi"/>
            <w:i w:val="0"/>
            <w:iCs w:val="0"/>
            <w:noProof/>
            <w:sz w:val="22"/>
            <w:szCs w:val="22"/>
          </w:rPr>
          <w:tab/>
        </w:r>
        <w:r w:rsidRPr="00172510">
          <w:rPr>
            <w:rStyle w:val="Hyperlink"/>
            <w:noProof/>
          </w:rPr>
          <w:t>Processing order</w:t>
        </w:r>
        <w:r>
          <w:rPr>
            <w:noProof/>
            <w:webHidden/>
          </w:rPr>
          <w:tab/>
        </w:r>
        <w:r>
          <w:rPr>
            <w:noProof/>
            <w:webHidden/>
          </w:rPr>
          <w:fldChar w:fldCharType="begin"/>
        </w:r>
        <w:r>
          <w:rPr>
            <w:noProof/>
            <w:webHidden/>
          </w:rPr>
          <w:instrText xml:space="preserve"> PAGEREF _Toc317444338 \h </w:instrText>
        </w:r>
        <w:r>
          <w:rPr>
            <w:noProof/>
            <w:webHidden/>
          </w:rPr>
        </w:r>
        <w:r>
          <w:rPr>
            <w:noProof/>
            <w:webHidden/>
          </w:rPr>
          <w:fldChar w:fldCharType="separate"/>
        </w:r>
        <w:r>
          <w:rPr>
            <w:noProof/>
            <w:webHidden/>
          </w:rPr>
          <w:t>4</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39" w:history="1">
        <w:r w:rsidRPr="00172510">
          <w:rPr>
            <w:rStyle w:val="Hyperlink"/>
            <w:noProof/>
          </w:rPr>
          <w:t>1.2.2.</w:t>
        </w:r>
        <w:r>
          <w:rPr>
            <w:rFonts w:asciiTheme="minorHAnsi" w:eastAsiaTheme="minorEastAsia" w:hAnsiTheme="minorHAnsi" w:cstheme="minorBidi"/>
            <w:i w:val="0"/>
            <w:iCs w:val="0"/>
            <w:noProof/>
            <w:sz w:val="22"/>
            <w:szCs w:val="22"/>
          </w:rPr>
          <w:tab/>
        </w:r>
        <w:r w:rsidRPr="00172510">
          <w:rPr>
            <w:rStyle w:val="Hyperlink"/>
            <w:noProof/>
          </w:rPr>
          <w:t>Result set partitioning</w:t>
        </w:r>
        <w:r>
          <w:rPr>
            <w:noProof/>
            <w:webHidden/>
          </w:rPr>
          <w:tab/>
        </w:r>
        <w:r>
          <w:rPr>
            <w:noProof/>
            <w:webHidden/>
          </w:rPr>
          <w:fldChar w:fldCharType="begin"/>
        </w:r>
        <w:r>
          <w:rPr>
            <w:noProof/>
            <w:webHidden/>
          </w:rPr>
          <w:instrText xml:space="preserve"> PAGEREF _Toc317444339 \h </w:instrText>
        </w:r>
        <w:r>
          <w:rPr>
            <w:noProof/>
            <w:webHidden/>
          </w:rPr>
        </w:r>
        <w:r>
          <w:rPr>
            <w:noProof/>
            <w:webHidden/>
          </w:rPr>
          <w:fldChar w:fldCharType="separate"/>
        </w:r>
        <w:r>
          <w:rPr>
            <w:noProof/>
            <w:webHidden/>
          </w:rPr>
          <w:t>4</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40" w:history="1">
        <w:r w:rsidRPr="00172510">
          <w:rPr>
            <w:rStyle w:val="Hyperlink"/>
            <w:noProof/>
          </w:rPr>
          <w:t>1.2.3.</w:t>
        </w:r>
        <w:r>
          <w:rPr>
            <w:rFonts w:asciiTheme="minorHAnsi" w:eastAsiaTheme="minorEastAsia" w:hAnsiTheme="minorHAnsi" w:cstheme="minorBidi"/>
            <w:i w:val="0"/>
            <w:iCs w:val="0"/>
            <w:noProof/>
            <w:sz w:val="22"/>
            <w:szCs w:val="22"/>
          </w:rPr>
          <w:tab/>
        </w:r>
        <w:r w:rsidRPr="00172510">
          <w:rPr>
            <w:rStyle w:val="Hyperlink"/>
            <w:noProof/>
          </w:rPr>
          <w:t>Window</w:t>
        </w:r>
        <w:r>
          <w:rPr>
            <w:noProof/>
            <w:webHidden/>
          </w:rPr>
          <w:tab/>
        </w:r>
        <w:r>
          <w:rPr>
            <w:noProof/>
            <w:webHidden/>
          </w:rPr>
          <w:fldChar w:fldCharType="begin"/>
        </w:r>
        <w:r>
          <w:rPr>
            <w:noProof/>
            <w:webHidden/>
          </w:rPr>
          <w:instrText xml:space="preserve"> PAGEREF _Toc317444340 \h </w:instrText>
        </w:r>
        <w:r>
          <w:rPr>
            <w:noProof/>
            <w:webHidden/>
          </w:rPr>
        </w:r>
        <w:r>
          <w:rPr>
            <w:noProof/>
            <w:webHidden/>
          </w:rPr>
          <w:fldChar w:fldCharType="separate"/>
        </w:r>
        <w:r>
          <w:rPr>
            <w:noProof/>
            <w:webHidden/>
          </w:rPr>
          <w:t>4</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41" w:history="1">
        <w:r w:rsidRPr="00172510">
          <w:rPr>
            <w:rStyle w:val="Hyperlink"/>
            <w:noProof/>
          </w:rPr>
          <w:t>1.2.4.</w:t>
        </w:r>
        <w:r>
          <w:rPr>
            <w:rFonts w:asciiTheme="minorHAnsi" w:eastAsiaTheme="minorEastAsia" w:hAnsiTheme="minorHAnsi" w:cstheme="minorBidi"/>
            <w:i w:val="0"/>
            <w:iCs w:val="0"/>
            <w:noProof/>
            <w:sz w:val="22"/>
            <w:szCs w:val="22"/>
          </w:rPr>
          <w:tab/>
        </w:r>
        <w:r w:rsidRPr="00172510">
          <w:rPr>
            <w:rStyle w:val="Hyperlink"/>
            <w:noProof/>
          </w:rPr>
          <w:t>Current row</w:t>
        </w:r>
        <w:r>
          <w:rPr>
            <w:noProof/>
            <w:webHidden/>
          </w:rPr>
          <w:tab/>
        </w:r>
        <w:r>
          <w:rPr>
            <w:noProof/>
            <w:webHidden/>
          </w:rPr>
          <w:fldChar w:fldCharType="begin"/>
        </w:r>
        <w:r>
          <w:rPr>
            <w:noProof/>
            <w:webHidden/>
          </w:rPr>
          <w:instrText xml:space="preserve"> PAGEREF _Toc317444341 \h </w:instrText>
        </w:r>
        <w:r>
          <w:rPr>
            <w:noProof/>
            <w:webHidden/>
          </w:rPr>
        </w:r>
        <w:r>
          <w:rPr>
            <w:noProof/>
            <w:webHidden/>
          </w:rPr>
          <w:fldChar w:fldCharType="separate"/>
        </w:r>
        <w:r>
          <w:rPr>
            <w:noProof/>
            <w:webHidden/>
          </w:rPr>
          <w:t>4</w:t>
        </w:r>
        <w:r>
          <w:rPr>
            <w:noProof/>
            <w:webHidden/>
          </w:rPr>
          <w:fldChar w:fldCharType="end"/>
        </w:r>
      </w:hyperlink>
    </w:p>
    <w:p w:rsidR="007B0610" w:rsidRDefault="007B0610">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4342" w:history="1">
        <w:r w:rsidRPr="00172510">
          <w:rPr>
            <w:rStyle w:val="Hyperlink"/>
            <w:noProof/>
          </w:rPr>
          <w:t>1.3.</w:t>
        </w:r>
        <w:r>
          <w:rPr>
            <w:rFonts w:asciiTheme="minorHAnsi" w:eastAsiaTheme="minorEastAsia" w:hAnsiTheme="minorHAnsi" w:cstheme="minorBidi"/>
            <w:smallCaps w:val="0"/>
            <w:noProof/>
            <w:sz w:val="22"/>
            <w:szCs w:val="22"/>
          </w:rPr>
          <w:tab/>
        </w:r>
        <w:r w:rsidRPr="00172510">
          <w:rPr>
            <w:rStyle w:val="Hyperlink"/>
            <w:noProof/>
          </w:rPr>
          <w:t>Windowing Aggregation Functions</w:t>
        </w:r>
        <w:r>
          <w:rPr>
            <w:noProof/>
            <w:webHidden/>
          </w:rPr>
          <w:tab/>
        </w:r>
        <w:r>
          <w:rPr>
            <w:noProof/>
            <w:webHidden/>
          </w:rPr>
          <w:fldChar w:fldCharType="begin"/>
        </w:r>
        <w:r>
          <w:rPr>
            <w:noProof/>
            <w:webHidden/>
          </w:rPr>
          <w:instrText xml:space="preserve"> PAGEREF _Toc317444342 \h </w:instrText>
        </w:r>
        <w:r>
          <w:rPr>
            <w:noProof/>
            <w:webHidden/>
          </w:rPr>
        </w:r>
        <w:r>
          <w:rPr>
            <w:noProof/>
            <w:webHidden/>
          </w:rPr>
          <w:fldChar w:fldCharType="separate"/>
        </w:r>
        <w:r>
          <w:rPr>
            <w:noProof/>
            <w:webHidden/>
          </w:rPr>
          <w:t>5</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43" w:history="1">
        <w:r w:rsidRPr="00172510">
          <w:rPr>
            <w:rStyle w:val="Hyperlink"/>
            <w:noProof/>
          </w:rPr>
          <w:t>1.3.1.</w:t>
        </w:r>
        <w:r>
          <w:rPr>
            <w:rFonts w:asciiTheme="minorHAnsi" w:eastAsiaTheme="minorEastAsia" w:hAnsiTheme="minorHAnsi" w:cstheme="minorBidi"/>
            <w:i w:val="0"/>
            <w:iCs w:val="0"/>
            <w:noProof/>
            <w:sz w:val="22"/>
            <w:szCs w:val="22"/>
          </w:rPr>
          <w:tab/>
        </w:r>
        <w:r w:rsidRPr="00172510">
          <w:rPr>
            <w:rStyle w:val="Hyperlink"/>
            <w:noProof/>
          </w:rPr>
          <w:t>Physical and Logical Offset</w:t>
        </w:r>
        <w:r>
          <w:rPr>
            <w:noProof/>
            <w:webHidden/>
          </w:rPr>
          <w:tab/>
        </w:r>
        <w:r>
          <w:rPr>
            <w:noProof/>
            <w:webHidden/>
          </w:rPr>
          <w:fldChar w:fldCharType="begin"/>
        </w:r>
        <w:r>
          <w:rPr>
            <w:noProof/>
            <w:webHidden/>
          </w:rPr>
          <w:instrText xml:space="preserve"> PAGEREF _Toc317444343 \h </w:instrText>
        </w:r>
        <w:r>
          <w:rPr>
            <w:noProof/>
            <w:webHidden/>
          </w:rPr>
        </w:r>
        <w:r>
          <w:rPr>
            <w:noProof/>
            <w:webHidden/>
          </w:rPr>
          <w:fldChar w:fldCharType="separate"/>
        </w:r>
        <w:r>
          <w:rPr>
            <w:noProof/>
            <w:webHidden/>
          </w:rPr>
          <w:t>5</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44" w:history="1">
        <w:r w:rsidRPr="00172510">
          <w:rPr>
            <w:rStyle w:val="Hyperlink"/>
            <w:noProof/>
          </w:rPr>
          <w:t>1.3.2.</w:t>
        </w:r>
        <w:r>
          <w:rPr>
            <w:rFonts w:asciiTheme="minorHAnsi" w:eastAsiaTheme="minorEastAsia" w:hAnsiTheme="minorHAnsi" w:cstheme="minorBidi"/>
            <w:i w:val="0"/>
            <w:iCs w:val="0"/>
            <w:noProof/>
            <w:sz w:val="22"/>
            <w:szCs w:val="22"/>
          </w:rPr>
          <w:tab/>
        </w:r>
        <w:r w:rsidRPr="00172510">
          <w:rPr>
            <w:rStyle w:val="Hyperlink"/>
            <w:noProof/>
          </w:rPr>
          <w:t>Centered Aggregate Function</w:t>
        </w:r>
        <w:r>
          <w:rPr>
            <w:noProof/>
            <w:webHidden/>
          </w:rPr>
          <w:tab/>
        </w:r>
        <w:r>
          <w:rPr>
            <w:noProof/>
            <w:webHidden/>
          </w:rPr>
          <w:fldChar w:fldCharType="begin"/>
        </w:r>
        <w:r>
          <w:rPr>
            <w:noProof/>
            <w:webHidden/>
          </w:rPr>
          <w:instrText xml:space="preserve"> PAGEREF _Toc317444344 \h </w:instrText>
        </w:r>
        <w:r>
          <w:rPr>
            <w:noProof/>
            <w:webHidden/>
          </w:rPr>
        </w:r>
        <w:r>
          <w:rPr>
            <w:noProof/>
            <w:webHidden/>
          </w:rPr>
          <w:fldChar w:fldCharType="separate"/>
        </w:r>
        <w:r>
          <w:rPr>
            <w:noProof/>
            <w:webHidden/>
          </w:rPr>
          <w:t>6</w:t>
        </w:r>
        <w:r>
          <w:rPr>
            <w:noProof/>
            <w:webHidden/>
          </w:rPr>
          <w:fldChar w:fldCharType="end"/>
        </w:r>
      </w:hyperlink>
    </w:p>
    <w:p w:rsidR="007B0610" w:rsidRDefault="007B0610">
      <w:pPr>
        <w:pStyle w:val="TOC3"/>
        <w:tabs>
          <w:tab w:val="left" w:pos="1200"/>
          <w:tab w:val="right" w:leader="dot" w:pos="9347"/>
        </w:tabs>
        <w:rPr>
          <w:rFonts w:asciiTheme="minorHAnsi" w:eastAsiaTheme="minorEastAsia" w:hAnsiTheme="minorHAnsi" w:cstheme="minorBidi"/>
          <w:i w:val="0"/>
          <w:iCs w:val="0"/>
          <w:noProof/>
          <w:sz w:val="22"/>
          <w:szCs w:val="22"/>
        </w:rPr>
      </w:pPr>
      <w:hyperlink w:anchor="_Toc317444345" w:history="1">
        <w:r w:rsidRPr="00172510">
          <w:rPr>
            <w:rStyle w:val="Hyperlink"/>
            <w:noProof/>
          </w:rPr>
          <w:t>1.3.3.</w:t>
        </w:r>
        <w:r>
          <w:rPr>
            <w:rFonts w:asciiTheme="minorHAnsi" w:eastAsiaTheme="minorEastAsia" w:hAnsiTheme="minorHAnsi" w:cstheme="minorBidi"/>
            <w:i w:val="0"/>
            <w:iCs w:val="0"/>
            <w:noProof/>
            <w:sz w:val="22"/>
            <w:szCs w:val="22"/>
          </w:rPr>
          <w:tab/>
        </w:r>
        <w:r w:rsidRPr="00172510">
          <w:rPr>
            <w:rStyle w:val="Hyperlink"/>
            <w:noProof/>
          </w:rPr>
          <w:t>Varying Window Size for Each Row</w:t>
        </w:r>
        <w:r>
          <w:rPr>
            <w:noProof/>
            <w:webHidden/>
          </w:rPr>
          <w:tab/>
        </w:r>
        <w:r>
          <w:rPr>
            <w:noProof/>
            <w:webHidden/>
          </w:rPr>
          <w:fldChar w:fldCharType="begin"/>
        </w:r>
        <w:r>
          <w:rPr>
            <w:noProof/>
            <w:webHidden/>
          </w:rPr>
          <w:instrText xml:space="preserve"> PAGEREF _Toc317444345 \h </w:instrText>
        </w:r>
        <w:r>
          <w:rPr>
            <w:noProof/>
            <w:webHidden/>
          </w:rPr>
        </w:r>
        <w:r>
          <w:rPr>
            <w:noProof/>
            <w:webHidden/>
          </w:rPr>
          <w:fldChar w:fldCharType="separate"/>
        </w:r>
        <w:r>
          <w:rPr>
            <w:noProof/>
            <w:webHidden/>
          </w:rPr>
          <w:t>6</w:t>
        </w:r>
        <w:r>
          <w:rPr>
            <w:noProof/>
            <w:webHidden/>
          </w:rPr>
          <w:fldChar w:fldCharType="end"/>
        </w:r>
      </w:hyperlink>
    </w:p>
    <w:p w:rsidR="007B0610" w:rsidRDefault="007B0610">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4346" w:history="1">
        <w:r w:rsidRPr="00172510">
          <w:rPr>
            <w:rStyle w:val="Hyperlink"/>
            <w:noProof/>
          </w:rPr>
          <w:t>1.4.</w:t>
        </w:r>
        <w:r>
          <w:rPr>
            <w:rFonts w:asciiTheme="minorHAnsi" w:eastAsiaTheme="minorEastAsia" w:hAnsiTheme="minorHAnsi" w:cstheme="minorBidi"/>
            <w:smallCaps w:val="0"/>
            <w:noProof/>
            <w:sz w:val="22"/>
            <w:szCs w:val="22"/>
          </w:rPr>
          <w:tab/>
        </w:r>
        <w:r w:rsidRPr="00172510">
          <w:rPr>
            <w:rStyle w:val="Hyperlink"/>
            <w:noProof/>
          </w:rPr>
          <w:t>LISTAGG Function</w:t>
        </w:r>
        <w:r>
          <w:rPr>
            <w:noProof/>
            <w:webHidden/>
          </w:rPr>
          <w:tab/>
        </w:r>
        <w:r>
          <w:rPr>
            <w:noProof/>
            <w:webHidden/>
          </w:rPr>
          <w:fldChar w:fldCharType="begin"/>
        </w:r>
        <w:r>
          <w:rPr>
            <w:noProof/>
            <w:webHidden/>
          </w:rPr>
          <w:instrText xml:space="preserve"> PAGEREF _Toc317444346 \h </w:instrText>
        </w:r>
        <w:r>
          <w:rPr>
            <w:noProof/>
            <w:webHidden/>
          </w:rPr>
        </w:r>
        <w:r>
          <w:rPr>
            <w:noProof/>
            <w:webHidden/>
          </w:rPr>
          <w:fldChar w:fldCharType="separate"/>
        </w:r>
        <w:r>
          <w:rPr>
            <w:noProof/>
            <w:webHidden/>
          </w:rPr>
          <w:t>7</w:t>
        </w:r>
        <w:r>
          <w:rPr>
            <w:noProof/>
            <w:webHidden/>
          </w:rPr>
          <w:fldChar w:fldCharType="end"/>
        </w:r>
      </w:hyperlink>
    </w:p>
    <w:p w:rsidR="007B0610" w:rsidRDefault="007B0610">
      <w:pPr>
        <w:pStyle w:val="TOC2"/>
        <w:tabs>
          <w:tab w:val="left" w:pos="800"/>
          <w:tab w:val="right" w:leader="dot" w:pos="9347"/>
        </w:tabs>
        <w:rPr>
          <w:rFonts w:asciiTheme="minorHAnsi" w:eastAsiaTheme="minorEastAsia" w:hAnsiTheme="minorHAnsi" w:cstheme="minorBidi"/>
          <w:smallCaps w:val="0"/>
          <w:noProof/>
          <w:sz w:val="22"/>
          <w:szCs w:val="22"/>
        </w:rPr>
      </w:pPr>
      <w:hyperlink w:anchor="_Toc317444347" w:history="1">
        <w:r w:rsidRPr="00172510">
          <w:rPr>
            <w:rStyle w:val="Hyperlink"/>
            <w:noProof/>
          </w:rPr>
          <w:t>1.5.</w:t>
        </w:r>
        <w:r>
          <w:rPr>
            <w:rFonts w:asciiTheme="minorHAnsi" w:eastAsiaTheme="minorEastAsia" w:hAnsiTheme="minorHAnsi" w:cstheme="minorBidi"/>
            <w:smallCaps w:val="0"/>
            <w:noProof/>
            <w:sz w:val="22"/>
            <w:szCs w:val="22"/>
          </w:rPr>
          <w:tab/>
        </w:r>
        <w:r w:rsidRPr="00172510">
          <w:rPr>
            <w:rStyle w:val="Hyperlink"/>
            <w:noProof/>
          </w:rPr>
          <w:t>NTH_VALUE Function</w:t>
        </w:r>
        <w:r>
          <w:rPr>
            <w:noProof/>
            <w:webHidden/>
          </w:rPr>
          <w:tab/>
        </w:r>
        <w:r>
          <w:rPr>
            <w:noProof/>
            <w:webHidden/>
          </w:rPr>
          <w:fldChar w:fldCharType="begin"/>
        </w:r>
        <w:r>
          <w:rPr>
            <w:noProof/>
            <w:webHidden/>
          </w:rPr>
          <w:instrText xml:space="preserve"> PAGEREF _Toc317444347 \h </w:instrText>
        </w:r>
        <w:r>
          <w:rPr>
            <w:noProof/>
            <w:webHidden/>
          </w:rPr>
        </w:r>
        <w:r>
          <w:rPr>
            <w:noProof/>
            <w:webHidden/>
          </w:rPr>
          <w:fldChar w:fldCharType="separate"/>
        </w:r>
        <w:r>
          <w:rPr>
            <w:noProof/>
            <w:webHidden/>
          </w:rPr>
          <w:t>7</w:t>
        </w:r>
        <w:r>
          <w:rPr>
            <w:noProof/>
            <w:webHidden/>
          </w:rPr>
          <w:fldChar w:fldCharType="end"/>
        </w:r>
      </w:hyperlink>
    </w:p>
    <w:p w:rsidR="00222DC3" w:rsidRPr="00114D08" w:rsidRDefault="00222DC3" w:rsidP="005C0966">
      <w:pPr>
        <w:ind w:hanging="720"/>
      </w:pPr>
      <w:r w:rsidRPr="00114D08">
        <w:fldChar w:fldCharType="end"/>
      </w:r>
    </w:p>
    <w:p w:rsidR="00222DC3" w:rsidRPr="00114D08" w:rsidRDefault="00222DC3" w:rsidP="00222DC3"/>
    <w:p w:rsidR="00842C17" w:rsidRDefault="00222DC3" w:rsidP="00842C17">
      <w:pPr>
        <w:pStyle w:val="Heading1"/>
      </w:pPr>
      <w:r w:rsidRPr="00114D08">
        <w:br w:type="page"/>
      </w:r>
      <w:bookmarkStart w:id="4" w:name="_Toc317444335"/>
      <w:bookmarkStart w:id="5" w:name="_GoBack"/>
      <w:bookmarkEnd w:id="0"/>
      <w:bookmarkEnd w:id="1"/>
      <w:bookmarkEnd w:id="2"/>
      <w:bookmarkEnd w:id="3"/>
      <w:bookmarkEnd w:id="5"/>
      <w:r w:rsidR="00842C17">
        <w:lastRenderedPageBreak/>
        <w:t>Windowing Aggregate Functions</w:t>
      </w:r>
      <w:bookmarkEnd w:id="4"/>
    </w:p>
    <w:p w:rsidR="00A575CF" w:rsidRDefault="00A575CF" w:rsidP="00A575CF">
      <w:pPr>
        <w:pStyle w:val="Heading2"/>
      </w:pPr>
      <w:bookmarkStart w:id="6" w:name="_Toc317444336"/>
      <w:r>
        <w:t>Oracle Analytic Functions</w:t>
      </w:r>
      <w:bookmarkEnd w:id="6"/>
    </w:p>
    <w:p w:rsidR="005848D0" w:rsidRDefault="005848D0" w:rsidP="005848D0">
      <w:pPr>
        <w:pStyle w:val="BodyText"/>
      </w:pPr>
      <w:r>
        <w:t>Oracle enhances SQL's analytical processing capabilities by introducing a new family of analytic SQL functions. These analytic functions enable you to calculate:</w:t>
      </w:r>
    </w:p>
    <w:p w:rsidR="005848D0" w:rsidRDefault="005848D0" w:rsidP="005848D0">
      <w:pPr>
        <w:pStyle w:val="BodyText"/>
        <w:numPr>
          <w:ilvl w:val="0"/>
          <w:numId w:val="20"/>
        </w:numPr>
      </w:pPr>
      <w:r>
        <w:t>Rankings and percentiles</w:t>
      </w:r>
    </w:p>
    <w:p w:rsidR="005848D0" w:rsidRDefault="005848D0" w:rsidP="005848D0">
      <w:pPr>
        <w:pStyle w:val="BodyText"/>
        <w:numPr>
          <w:ilvl w:val="0"/>
          <w:numId w:val="20"/>
        </w:numPr>
      </w:pPr>
      <w:r>
        <w:t>Moving window calculations</w:t>
      </w:r>
    </w:p>
    <w:p w:rsidR="005848D0" w:rsidRDefault="005848D0" w:rsidP="005848D0">
      <w:pPr>
        <w:pStyle w:val="BodyText"/>
        <w:numPr>
          <w:ilvl w:val="0"/>
          <w:numId w:val="20"/>
        </w:numPr>
      </w:pPr>
      <w:r>
        <w:t>Lag/lead analysis</w:t>
      </w:r>
    </w:p>
    <w:p w:rsidR="005848D0" w:rsidRDefault="005848D0" w:rsidP="005848D0">
      <w:pPr>
        <w:pStyle w:val="BodyText"/>
        <w:numPr>
          <w:ilvl w:val="0"/>
          <w:numId w:val="20"/>
        </w:numPr>
      </w:pPr>
      <w:r>
        <w:t>First/last analysis</w:t>
      </w:r>
    </w:p>
    <w:p w:rsidR="005848D0" w:rsidRDefault="005848D0" w:rsidP="005848D0">
      <w:pPr>
        <w:pStyle w:val="BodyText"/>
        <w:numPr>
          <w:ilvl w:val="0"/>
          <w:numId w:val="20"/>
        </w:numPr>
      </w:pPr>
      <w:r>
        <w:t>Linear regression statistics</w:t>
      </w:r>
    </w:p>
    <w:p w:rsidR="005848D0" w:rsidRDefault="005848D0" w:rsidP="005848D0">
      <w:pPr>
        <w:pStyle w:val="BodyText"/>
      </w:pPr>
      <w:r w:rsidRPr="005848D0">
        <w:t>To enhance performance, analytic functions can be parallelized: multiple processes can simultaneously execute all of these statements. These capabilities make calculations easier and more efficient, thereby enhancing database performance, scalability, and simplicity.</w:t>
      </w:r>
    </w:p>
    <w:tbl>
      <w:tblPr>
        <w:tblW w:w="9098" w:type="dxa"/>
        <w:tblLayout w:type="fixed"/>
        <w:tblCellMar>
          <w:left w:w="0" w:type="dxa"/>
          <w:right w:w="0" w:type="dxa"/>
        </w:tblCellMar>
        <w:tblLook w:val="0620" w:firstRow="1" w:lastRow="0" w:firstColumn="0" w:lastColumn="0" w:noHBand="1" w:noVBand="1"/>
      </w:tblPr>
      <w:tblGrid>
        <w:gridCol w:w="3120"/>
        <w:gridCol w:w="5978"/>
      </w:tblGrid>
      <w:tr w:rsidR="005848D0" w:rsidRPr="005848D0" w:rsidTr="005848D0">
        <w:trPr>
          <w:trHeight w:val="306"/>
        </w:trPr>
        <w:tc>
          <w:tcPr>
            <w:tcW w:w="3120" w:type="dxa"/>
            <w:tcBorders>
              <w:top w:val="single" w:sz="8" w:space="0" w:color="FFFFFF"/>
              <w:left w:val="single" w:sz="8" w:space="0" w:color="FFFFFF"/>
              <w:bottom w:val="single" w:sz="24" w:space="0" w:color="FFFFFF"/>
              <w:right w:val="single" w:sz="8" w:space="0" w:color="FFFFFF"/>
            </w:tcBorders>
            <w:shd w:val="clear" w:color="auto" w:fill="4F81BD"/>
            <w:tcMar>
              <w:top w:w="26" w:type="dxa"/>
              <w:left w:w="26" w:type="dxa"/>
              <w:bottom w:w="26" w:type="dxa"/>
              <w:right w:w="26" w:type="dxa"/>
            </w:tcMar>
            <w:vAlign w:val="bottom"/>
            <w:hideMark/>
          </w:tcPr>
          <w:p w:rsidR="005848D0" w:rsidRPr="005848D0" w:rsidRDefault="005848D0" w:rsidP="005848D0">
            <w:pPr>
              <w:widowControl/>
              <w:spacing w:line="306" w:lineRule="atLeast"/>
              <w:textAlignment w:val="bottom"/>
              <w:rPr>
                <w:rFonts w:ascii="Arial" w:hAnsi="Arial" w:cs="Arial"/>
              </w:rPr>
            </w:pPr>
            <w:r w:rsidRPr="005848D0">
              <w:rPr>
                <w:rFonts w:ascii="Calibri" w:hAnsi="Calibri" w:cs="Calibri"/>
                <w:b/>
                <w:bCs/>
                <w:color w:val="FFFFFF" w:themeColor="light1"/>
                <w:kern w:val="24"/>
              </w:rPr>
              <w:t>Type</w:t>
            </w:r>
          </w:p>
        </w:tc>
        <w:tc>
          <w:tcPr>
            <w:tcW w:w="5978" w:type="dxa"/>
            <w:tcBorders>
              <w:top w:val="single" w:sz="8" w:space="0" w:color="FFFFFF"/>
              <w:left w:val="single" w:sz="8" w:space="0" w:color="FFFFFF"/>
              <w:bottom w:val="single" w:sz="24" w:space="0" w:color="FFFFFF"/>
              <w:right w:val="single" w:sz="8" w:space="0" w:color="FFFFFF"/>
            </w:tcBorders>
            <w:shd w:val="clear" w:color="auto" w:fill="4F81BD"/>
            <w:tcMar>
              <w:top w:w="26" w:type="dxa"/>
              <w:left w:w="26" w:type="dxa"/>
              <w:bottom w:w="26" w:type="dxa"/>
              <w:right w:w="26" w:type="dxa"/>
            </w:tcMar>
            <w:vAlign w:val="bottom"/>
            <w:hideMark/>
          </w:tcPr>
          <w:p w:rsidR="005848D0" w:rsidRPr="005848D0" w:rsidRDefault="005848D0" w:rsidP="005848D0">
            <w:pPr>
              <w:widowControl/>
              <w:spacing w:line="306" w:lineRule="atLeast"/>
              <w:textAlignment w:val="bottom"/>
              <w:rPr>
                <w:rFonts w:ascii="Arial" w:hAnsi="Arial" w:cs="Arial"/>
              </w:rPr>
            </w:pPr>
            <w:r w:rsidRPr="005848D0">
              <w:rPr>
                <w:rFonts w:ascii="Calibri" w:hAnsi="Calibri" w:cs="Calibri"/>
                <w:b/>
                <w:bCs/>
                <w:color w:val="FFFFFF" w:themeColor="light1"/>
                <w:kern w:val="24"/>
              </w:rPr>
              <w:t>Used For</w:t>
            </w:r>
          </w:p>
        </w:tc>
      </w:tr>
      <w:tr w:rsidR="005848D0" w:rsidRPr="005848D0" w:rsidTr="005848D0">
        <w:trPr>
          <w:trHeight w:val="379"/>
        </w:trPr>
        <w:tc>
          <w:tcPr>
            <w:tcW w:w="3120" w:type="dxa"/>
            <w:tcBorders>
              <w:top w:val="single" w:sz="24"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Ranking</w:t>
            </w:r>
          </w:p>
        </w:tc>
        <w:tc>
          <w:tcPr>
            <w:tcW w:w="5978" w:type="dxa"/>
            <w:tcBorders>
              <w:top w:val="single" w:sz="24"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Calculating ranks, percentiles, and n-tiles of the values in a result set.</w:t>
            </w:r>
          </w:p>
        </w:tc>
      </w:tr>
      <w:tr w:rsidR="005848D0" w:rsidRPr="005848D0" w:rsidTr="005848D0">
        <w:trPr>
          <w:trHeight w:val="1293"/>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b/>
                <w:bCs/>
                <w:color w:val="000000" w:themeColor="dark1"/>
                <w:kern w:val="24"/>
              </w:rPr>
              <w:t>Windowing</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b/>
                <w:bCs/>
                <w:color w:val="000000" w:themeColor="dark1"/>
                <w:kern w:val="24"/>
              </w:rPr>
              <w:t>Calculating cumulative and moving aggregates. Works with these functions: SUM, AVG, MIN, MAX, COUNT, VARIANCE, STDDEV, FIRST_VALUE</w:t>
            </w:r>
            <w:proofErr w:type="gramStart"/>
            <w:r w:rsidRPr="005848D0">
              <w:rPr>
                <w:rFonts w:ascii="Calibri" w:hAnsi="Calibri" w:cs="Calibri"/>
                <w:b/>
                <w:bCs/>
                <w:color w:val="000000" w:themeColor="dark1"/>
                <w:kern w:val="24"/>
              </w:rPr>
              <w:t>,LAST</w:t>
            </w:r>
            <w:proofErr w:type="gramEnd"/>
            <w:r w:rsidRPr="005848D0">
              <w:rPr>
                <w:rFonts w:ascii="Calibri" w:hAnsi="Calibri" w:cs="Calibri"/>
                <w:b/>
                <w:bCs/>
                <w:color w:val="000000" w:themeColor="dark1"/>
                <w:kern w:val="24"/>
              </w:rPr>
              <w:t>_VALUE, and statistical functions. Note that the DISTINCT keyword is not supported in windowing functions except for MAX and MIN.</w:t>
            </w:r>
          </w:p>
        </w:tc>
      </w:tr>
      <w:tr w:rsidR="005848D0" w:rsidRPr="005848D0" w:rsidTr="005848D0">
        <w:trPr>
          <w:trHeight w:val="970"/>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Reporting</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Works with: SUM, AVG, MIN, MAX, COUNT (with/without DISTINCT), VARIANCE, STDDEV, RATIO_TO_REPORT, and statistical functions. Note that the DISTINCT keyword may be used in those reporting functions that support DISTINCT in aggregate mode.</w:t>
            </w:r>
          </w:p>
        </w:tc>
      </w:tr>
      <w:tr w:rsidR="005848D0" w:rsidRPr="005848D0" w:rsidTr="005848D0">
        <w:trPr>
          <w:trHeight w:val="347"/>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LAG/LEAD</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Finding a value in a row a specified number of rows from a current row.</w:t>
            </w:r>
          </w:p>
        </w:tc>
      </w:tr>
      <w:tr w:rsidR="005848D0" w:rsidRPr="005848D0" w:rsidTr="005848D0">
        <w:trPr>
          <w:trHeight w:val="306"/>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306" w:lineRule="atLeast"/>
              <w:textAlignment w:val="top"/>
              <w:rPr>
                <w:rFonts w:ascii="Arial" w:hAnsi="Arial" w:cs="Arial"/>
              </w:rPr>
            </w:pPr>
            <w:r w:rsidRPr="005848D0">
              <w:rPr>
                <w:rFonts w:ascii="Calibri" w:hAnsi="Calibri" w:cs="Calibri"/>
                <w:color w:val="000000" w:themeColor="dark1"/>
                <w:kern w:val="24"/>
              </w:rPr>
              <w:t>FIRST/LAST</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306" w:lineRule="atLeast"/>
              <w:textAlignment w:val="top"/>
              <w:rPr>
                <w:rFonts w:ascii="Arial" w:hAnsi="Arial" w:cs="Arial"/>
              </w:rPr>
            </w:pPr>
            <w:r w:rsidRPr="005848D0">
              <w:rPr>
                <w:rFonts w:ascii="Calibri" w:hAnsi="Calibri" w:cs="Calibri"/>
                <w:color w:val="000000" w:themeColor="dark1"/>
                <w:kern w:val="24"/>
              </w:rPr>
              <w:t>First or last value in an ordered group.</w:t>
            </w:r>
          </w:p>
        </w:tc>
      </w:tr>
      <w:tr w:rsidR="005848D0" w:rsidRPr="005848D0" w:rsidTr="005848D0">
        <w:trPr>
          <w:trHeight w:val="388"/>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Linear Regression</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Calculating linear regression and other statistics.</w:t>
            </w:r>
          </w:p>
        </w:tc>
      </w:tr>
      <w:tr w:rsidR="005848D0" w:rsidRPr="005848D0" w:rsidTr="005848D0">
        <w:trPr>
          <w:trHeight w:val="366"/>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Inverse Percentile</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The value in a data set that corresponds to a specified percentile.</w:t>
            </w:r>
          </w:p>
        </w:tc>
      </w:tr>
      <w:tr w:rsidR="005848D0" w:rsidRPr="005848D0" w:rsidTr="005848D0">
        <w:trPr>
          <w:trHeight w:val="559"/>
        </w:trPr>
        <w:tc>
          <w:tcPr>
            <w:tcW w:w="3120"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Hypothetical Rank and Distribution</w:t>
            </w:r>
          </w:p>
        </w:tc>
        <w:tc>
          <w:tcPr>
            <w:tcW w:w="5978" w:type="dxa"/>
            <w:tcBorders>
              <w:top w:val="single" w:sz="8" w:space="0" w:color="FFFFFF"/>
              <w:left w:val="single" w:sz="8" w:space="0" w:color="FFFFFF"/>
              <w:bottom w:val="single" w:sz="8" w:space="0" w:color="FFFFFF"/>
              <w:right w:val="single" w:sz="8" w:space="0" w:color="FFFFFF"/>
            </w:tcBorders>
            <w:shd w:val="clear" w:color="auto" w:fill="E9EDF4"/>
            <w:tcMar>
              <w:top w:w="26" w:type="dxa"/>
              <w:left w:w="26" w:type="dxa"/>
              <w:bottom w:w="26" w:type="dxa"/>
              <w:right w:w="26" w:type="dxa"/>
            </w:tcMar>
            <w:hideMark/>
          </w:tcPr>
          <w:p w:rsidR="005848D0" w:rsidRPr="005848D0" w:rsidRDefault="005848D0" w:rsidP="005848D0">
            <w:pPr>
              <w:widowControl/>
              <w:spacing w:line="240" w:lineRule="auto"/>
              <w:textAlignment w:val="top"/>
              <w:rPr>
                <w:rFonts w:ascii="Arial" w:hAnsi="Arial" w:cs="Arial"/>
              </w:rPr>
            </w:pPr>
            <w:r w:rsidRPr="005848D0">
              <w:rPr>
                <w:rFonts w:ascii="Calibri" w:hAnsi="Calibri" w:cs="Calibri"/>
                <w:color w:val="000000" w:themeColor="dark1"/>
                <w:kern w:val="24"/>
              </w:rPr>
              <w:t>The rank or percentile that a row would have if inserted into a specified data set.</w:t>
            </w:r>
          </w:p>
        </w:tc>
      </w:tr>
    </w:tbl>
    <w:p w:rsidR="005848D0" w:rsidRDefault="005848D0" w:rsidP="005848D0">
      <w:pPr>
        <w:pStyle w:val="BodyText"/>
      </w:pPr>
    </w:p>
    <w:p w:rsidR="005848D0" w:rsidRDefault="005848D0" w:rsidP="005848D0">
      <w:pPr>
        <w:pStyle w:val="BodyText"/>
      </w:pPr>
      <w:r>
        <w:t>New elements build on existing SQL to allow flexible and powerful calculation expressions. With just a few exceptions, the analytic functions have these new elements. The processing flow is represented in figure below.</w:t>
      </w:r>
    </w:p>
    <w:p w:rsidR="005848D0" w:rsidRDefault="005848D0" w:rsidP="005848D0">
      <w:pPr>
        <w:pStyle w:val="BodyText"/>
      </w:pPr>
      <w:r>
        <w:rPr>
          <w:noProof/>
        </w:rPr>
        <w:drawing>
          <wp:inline distT="0" distB="0" distL="0" distR="0">
            <wp:extent cx="4416425" cy="690245"/>
            <wp:effectExtent l="0" t="0" r="3175" b="0"/>
            <wp:docPr id="7" name="Picture 7" descr="Description of Figure 21-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Figure 21-1 foll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6425" cy="690245"/>
                    </a:xfrm>
                    <a:prstGeom prst="rect">
                      <a:avLst/>
                    </a:prstGeom>
                    <a:noFill/>
                    <a:ln>
                      <a:noFill/>
                    </a:ln>
                  </pic:spPr>
                </pic:pic>
              </a:graphicData>
            </a:graphic>
          </wp:inline>
        </w:drawing>
      </w:r>
    </w:p>
    <w:p w:rsidR="00A575CF" w:rsidRDefault="00A575CF" w:rsidP="00A575CF">
      <w:pPr>
        <w:pStyle w:val="Heading2"/>
      </w:pPr>
      <w:bookmarkStart w:id="7" w:name="_Toc317444337"/>
      <w:r>
        <w:lastRenderedPageBreak/>
        <w:t xml:space="preserve">Essential </w:t>
      </w:r>
      <w:r w:rsidR="002D6A03">
        <w:t>C</w:t>
      </w:r>
      <w:r>
        <w:t xml:space="preserve">oncepts of </w:t>
      </w:r>
      <w:r w:rsidR="002D6A03">
        <w:t>A</w:t>
      </w:r>
      <w:r>
        <w:t xml:space="preserve">nalytic </w:t>
      </w:r>
      <w:r w:rsidR="002D6A03">
        <w:t>F</w:t>
      </w:r>
      <w:r>
        <w:t>unctions</w:t>
      </w:r>
      <w:bookmarkEnd w:id="7"/>
    </w:p>
    <w:p w:rsidR="00A575CF" w:rsidRDefault="00A575CF" w:rsidP="00A575CF">
      <w:pPr>
        <w:pStyle w:val="Heading3"/>
      </w:pPr>
      <w:bookmarkStart w:id="8" w:name="_Toc317444338"/>
      <w:r>
        <w:t>Processing order</w:t>
      </w:r>
      <w:bookmarkEnd w:id="8"/>
    </w:p>
    <w:p w:rsidR="00A575CF" w:rsidRDefault="00A575CF" w:rsidP="00A575CF">
      <w:pPr>
        <w:pStyle w:val="BodyText"/>
      </w:pPr>
      <w:r>
        <w:t xml:space="preserve">Query processing using analytic functions takes place in three stages (see picture above). </w:t>
      </w:r>
      <w:proofErr w:type="gramStart"/>
      <w:r>
        <w:t>First, all joins, WHERE, GROUP BY and HAVING clauses are performed.</w:t>
      </w:r>
      <w:proofErr w:type="gramEnd"/>
      <w:r>
        <w:t xml:space="preserve"> </w:t>
      </w:r>
      <w:r w:rsidRPr="00906CFE">
        <w:rPr>
          <w:b/>
        </w:rPr>
        <w:t>Second, the result set is made available to the analytic functions, and all their calculations take place.</w:t>
      </w:r>
      <w:r>
        <w:t xml:space="preserve"> Third, if the query has an ORDER BY clause at its end, the ORDER BY is processed to allow for precise output ordering.</w:t>
      </w:r>
    </w:p>
    <w:p w:rsidR="00A575CF" w:rsidRDefault="00A575CF" w:rsidP="00A575CF">
      <w:pPr>
        <w:pStyle w:val="Heading3"/>
      </w:pPr>
      <w:bookmarkStart w:id="9" w:name="_Toc317444339"/>
      <w:r>
        <w:t>Result set partitioning</w:t>
      </w:r>
      <w:bookmarkEnd w:id="9"/>
    </w:p>
    <w:p w:rsidR="00A575CF" w:rsidRDefault="00A575CF" w:rsidP="00A575CF">
      <w:pPr>
        <w:pStyle w:val="BodyText"/>
      </w:pPr>
      <w:r>
        <w:t xml:space="preserve">The analytic functions allow users to divide query result sets into groups of rows called partitions. Note that the term partitions used with analytic functions is unrelated to the table partitions feature. </w:t>
      </w:r>
      <w:r w:rsidRPr="00A575CF">
        <w:rPr>
          <w:b/>
        </w:rPr>
        <w:t>Partitions are created after the groups defined with GROUP BY clauses, so they are available to any aggregate results such as sums and averages.</w:t>
      </w:r>
      <w:r>
        <w:t xml:space="preserve"> Partition divisions may be based upon any desired columns or expressions. A query result set may be partitioned into just one partition holding all the rows, a few large partitions, or many small partitions holding just a few rows each.</w:t>
      </w:r>
    </w:p>
    <w:p w:rsidR="00A575CF" w:rsidRDefault="00A575CF" w:rsidP="00A575CF">
      <w:pPr>
        <w:pStyle w:val="Heading3"/>
      </w:pPr>
      <w:bookmarkStart w:id="10" w:name="_Toc317444340"/>
      <w:r>
        <w:t>Window</w:t>
      </w:r>
      <w:bookmarkEnd w:id="10"/>
    </w:p>
    <w:p w:rsidR="00A575CF" w:rsidRDefault="00A575CF" w:rsidP="00A575CF">
      <w:pPr>
        <w:pStyle w:val="BodyText"/>
      </w:pPr>
      <w:r>
        <w:t>For each row in a partition, you can define a sliding window of data. This window determines the range of rows used to perform the calculations for the current row. Window sizes can be based on either a physical number of rows or a logical interval such as time. The window has a starting row and an ending row. Depending on its definition, the window may move at one or both ends. For instance, a window defined for a cumulative sum function would have its starting row fixed at the first row of its partition, and its ending row would slide from the starting point all the way to the last row of the partition. In contrast, a window defined for a moving average would have both its starting and end points slide so that they maintain a constant physical or logical range.</w:t>
      </w:r>
    </w:p>
    <w:p w:rsidR="00A575CF" w:rsidRDefault="00A575CF" w:rsidP="00A575CF">
      <w:pPr>
        <w:pStyle w:val="BodyText"/>
      </w:pPr>
      <w:r>
        <w:t xml:space="preserve">A window can be set as large as all the rows in a partition or just a sliding window of one row within a partition. </w:t>
      </w:r>
      <w:r w:rsidRPr="00A575CF">
        <w:rPr>
          <w:b/>
        </w:rPr>
        <w:t>When a window is near a border, the function returns results for only the available rows, rather than warning you that the results are not what you want.</w:t>
      </w:r>
    </w:p>
    <w:p w:rsidR="00A575CF" w:rsidRPr="00A575CF" w:rsidRDefault="00A575CF" w:rsidP="00A575CF">
      <w:pPr>
        <w:pStyle w:val="BodyText"/>
        <w:rPr>
          <w:b/>
        </w:rPr>
      </w:pPr>
      <w:r w:rsidRPr="00A575CF">
        <w:rPr>
          <w:b/>
        </w:rPr>
        <w:t>When using window functions, the current row is included during calculations, so you should only specify (n-1) whe</w:t>
      </w:r>
      <w:r>
        <w:rPr>
          <w:b/>
        </w:rPr>
        <w:t>n you are dealing with n items.</w:t>
      </w:r>
    </w:p>
    <w:p w:rsidR="00A575CF" w:rsidRDefault="00A575CF" w:rsidP="00A575CF">
      <w:pPr>
        <w:pStyle w:val="Heading3"/>
      </w:pPr>
      <w:bookmarkStart w:id="11" w:name="_Toc317444341"/>
      <w:r>
        <w:t>Current row</w:t>
      </w:r>
      <w:bookmarkEnd w:id="11"/>
    </w:p>
    <w:p w:rsidR="005848D0" w:rsidRDefault="00A575CF" w:rsidP="00A575CF">
      <w:pPr>
        <w:pStyle w:val="BodyText"/>
      </w:pPr>
      <w:r w:rsidRPr="00906CFE">
        <w:rPr>
          <w:b/>
        </w:rPr>
        <w:t>Each calculation performed with an analytic function is based on a current row within a partition.</w:t>
      </w:r>
      <w:r>
        <w:t xml:space="preserve"> The current row serves as the reference point determining the start and end of the window. For instance, a centered moving average calculation could be defined with a window that holds the current row, the six preceding rows, and the following six rows. This would create a sliding window of </w:t>
      </w:r>
      <w:r w:rsidR="00906CFE">
        <w:t>13 rows</w:t>
      </w:r>
      <w:r>
        <w:t>.</w:t>
      </w:r>
    </w:p>
    <w:p w:rsidR="00A06E62" w:rsidRDefault="00A06E62" w:rsidP="00A575CF">
      <w:pPr>
        <w:pStyle w:val="BodyText"/>
      </w:pPr>
      <w:r>
        <w:t>For example, window for cumulative calculations will look like:</w:t>
      </w:r>
    </w:p>
    <w:p w:rsidR="00A06E62" w:rsidRDefault="00A06E62" w:rsidP="00A575CF">
      <w:pPr>
        <w:pStyle w:val="BodyText"/>
      </w:pPr>
      <w:r w:rsidRPr="00A06E62">
        <w:rPr>
          <w:noProof/>
        </w:rPr>
        <w:drawing>
          <wp:inline distT="0" distB="0" distL="0" distR="0" wp14:anchorId="65F4A8BF" wp14:editId="75FAA557">
            <wp:extent cx="3600450" cy="2333625"/>
            <wp:effectExtent l="0" t="0" r="0" b="9525"/>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0450" cy="23336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A06E62" w:rsidRDefault="00A06E62" w:rsidP="00A575CF">
      <w:pPr>
        <w:pStyle w:val="BodyText"/>
      </w:pPr>
      <w:r>
        <w:t>But window for calculating some averages will be slightly different:</w:t>
      </w:r>
    </w:p>
    <w:p w:rsidR="00A06E62" w:rsidRDefault="00A06E62" w:rsidP="00A575CF">
      <w:pPr>
        <w:pStyle w:val="BodyText"/>
      </w:pPr>
      <w:r w:rsidRPr="00A06E62">
        <w:rPr>
          <w:noProof/>
        </w:rPr>
        <w:lastRenderedPageBreak/>
        <w:drawing>
          <wp:inline distT="0" distB="0" distL="0" distR="0" wp14:anchorId="7D9C31BF" wp14:editId="6C2D726E">
            <wp:extent cx="3600450" cy="2333625"/>
            <wp:effectExtent l="0" t="0" r="0" b="952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0450" cy="23336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2D6A03" w:rsidRDefault="002D6A03" w:rsidP="002D6A03">
      <w:pPr>
        <w:pStyle w:val="Heading2"/>
      </w:pPr>
      <w:bookmarkStart w:id="12" w:name="_Toc317444342"/>
      <w:r>
        <w:t>Windowing Aggregation Functions</w:t>
      </w:r>
      <w:bookmarkEnd w:id="12"/>
    </w:p>
    <w:p w:rsidR="004C4934" w:rsidRDefault="004C4934" w:rsidP="004C4934">
      <w:pPr>
        <w:pStyle w:val="BodyText"/>
      </w:pPr>
      <w:r>
        <w:t xml:space="preserve">Windowing functions can be used to compute cumulative and centered aggregates. They return a value for each row in the table, which depends on other rows in the corresponding window. With windowing aggregate functions, you can calculate moving and cumulative versions of SUM, AVERAGE, COUNT, MAX, MIN, and many more functions. They can be used only in the SELECT and ORDER BY clauses of the query. Windowing aggregate functions include the convenient FIRST_VALUE, which returns the first value in the window; and LAST_VALUE, which returns the last value in the window. </w:t>
      </w:r>
      <w:r w:rsidRPr="004C4934">
        <w:rPr>
          <w:b/>
        </w:rPr>
        <w:t>These functions provide access to more than one row of a table without a self-join.</w:t>
      </w:r>
      <w:r>
        <w:t xml:space="preserve"> The syntax of the windowing functions is:</w:t>
      </w:r>
    </w:p>
    <w:p w:rsidR="004C4934" w:rsidRDefault="004C4934" w:rsidP="004C4934">
      <w:pPr>
        <w:pStyle w:val="CodeText"/>
      </w:pPr>
      <w:r>
        <w:t>analytic_function([ arguments ])</w:t>
      </w:r>
    </w:p>
    <w:p w:rsidR="004C4934" w:rsidRDefault="004C4934" w:rsidP="004C4934">
      <w:pPr>
        <w:pStyle w:val="CodeText"/>
      </w:pPr>
      <w:r>
        <w:t xml:space="preserve">   OVER (analytic_clause)</w:t>
      </w:r>
    </w:p>
    <w:p w:rsidR="004C4934" w:rsidRDefault="004C4934" w:rsidP="004C4934">
      <w:pPr>
        <w:pStyle w:val="CodeText"/>
      </w:pPr>
    </w:p>
    <w:p w:rsidR="004C4934" w:rsidRDefault="004C4934" w:rsidP="004C4934">
      <w:pPr>
        <w:pStyle w:val="CodeText"/>
      </w:pPr>
      <w:r>
        <w:t xml:space="preserve"> where analytic_clause =</w:t>
      </w:r>
    </w:p>
    <w:p w:rsidR="004C4934" w:rsidRDefault="004C4934" w:rsidP="004C4934">
      <w:pPr>
        <w:pStyle w:val="CodeText"/>
      </w:pPr>
      <w:r>
        <w:t xml:space="preserve">     [ query_partition_clause ]</w:t>
      </w:r>
    </w:p>
    <w:p w:rsidR="004C4934" w:rsidRDefault="004C4934" w:rsidP="004C4934">
      <w:pPr>
        <w:pStyle w:val="CodeText"/>
      </w:pPr>
      <w:r>
        <w:t xml:space="preserve">     [ order_by_clause [ windowing_clause ] ]</w:t>
      </w:r>
    </w:p>
    <w:p w:rsidR="004C4934" w:rsidRDefault="004C4934" w:rsidP="004C4934">
      <w:pPr>
        <w:pStyle w:val="CodeText"/>
      </w:pPr>
    </w:p>
    <w:p w:rsidR="004C4934" w:rsidRDefault="004C4934" w:rsidP="004C4934">
      <w:pPr>
        <w:pStyle w:val="CodeText"/>
      </w:pPr>
      <w:r>
        <w:t>and query_partition_clause =</w:t>
      </w:r>
    </w:p>
    <w:p w:rsidR="004C4934" w:rsidRDefault="004C4934" w:rsidP="004C4934">
      <w:pPr>
        <w:pStyle w:val="CodeText"/>
      </w:pPr>
      <w:r>
        <w:t xml:space="preserve">    PARTITION BY</w:t>
      </w:r>
    </w:p>
    <w:p w:rsidR="004C4934" w:rsidRDefault="004C4934" w:rsidP="004C4934">
      <w:pPr>
        <w:pStyle w:val="CodeText"/>
      </w:pPr>
      <w:r>
        <w:t xml:space="preserve">      { value_expr[, value_expr ]...</w:t>
      </w:r>
    </w:p>
    <w:p w:rsidR="004C4934" w:rsidRDefault="004C4934" w:rsidP="004C4934">
      <w:pPr>
        <w:pStyle w:val="CodeText"/>
      </w:pPr>
      <w:r>
        <w:t xml:space="preserve">      | ( value_expr[, value_expr ]... )</w:t>
      </w:r>
    </w:p>
    <w:p w:rsidR="004C4934" w:rsidRDefault="004C4934" w:rsidP="004C4934">
      <w:pPr>
        <w:pStyle w:val="CodeText"/>
      </w:pPr>
      <w:r>
        <w:t xml:space="preserve">      }</w:t>
      </w:r>
    </w:p>
    <w:p w:rsidR="004C4934" w:rsidRDefault="004C4934" w:rsidP="004C4934">
      <w:pPr>
        <w:pStyle w:val="CodeText"/>
      </w:pPr>
      <w:r>
        <w:t xml:space="preserve"> and windowing_clause =</w:t>
      </w:r>
    </w:p>
    <w:p w:rsidR="004C4934" w:rsidRDefault="004C4934" w:rsidP="004C4934">
      <w:pPr>
        <w:pStyle w:val="CodeText"/>
      </w:pPr>
      <w:r>
        <w:t xml:space="preserve">     { ROWS | RANGE }</w:t>
      </w:r>
    </w:p>
    <w:p w:rsidR="004C4934" w:rsidRDefault="004C4934" w:rsidP="004C4934">
      <w:pPr>
        <w:pStyle w:val="CodeText"/>
      </w:pPr>
      <w:r>
        <w:t xml:space="preserve">     { BETWEEN</w:t>
      </w:r>
    </w:p>
    <w:p w:rsidR="004C4934" w:rsidRDefault="004C4934" w:rsidP="004C4934">
      <w:pPr>
        <w:pStyle w:val="CodeText"/>
      </w:pPr>
      <w:r>
        <w:t xml:space="preserve">       { UNBOUNDED PRECEDING</w:t>
      </w:r>
    </w:p>
    <w:p w:rsidR="004C4934" w:rsidRDefault="004C4934" w:rsidP="004C4934">
      <w:pPr>
        <w:pStyle w:val="CodeText"/>
      </w:pPr>
      <w:r>
        <w:t xml:space="preserve">     | CURRENT ROW</w:t>
      </w:r>
    </w:p>
    <w:p w:rsidR="004C4934" w:rsidRDefault="004C4934" w:rsidP="004C4934">
      <w:pPr>
        <w:pStyle w:val="CodeText"/>
      </w:pPr>
      <w:r>
        <w:t xml:space="preserve">     | value_expr { PRECEDING | FOLLOWING }</w:t>
      </w:r>
    </w:p>
    <w:p w:rsidR="004C4934" w:rsidRDefault="004C4934" w:rsidP="004C4934">
      <w:pPr>
        <w:pStyle w:val="CodeText"/>
      </w:pPr>
      <w:r>
        <w:t xml:space="preserve">     } </w:t>
      </w:r>
    </w:p>
    <w:p w:rsidR="004C4934" w:rsidRDefault="004C4934" w:rsidP="004C4934">
      <w:pPr>
        <w:pStyle w:val="CodeText"/>
      </w:pPr>
      <w:r>
        <w:t xml:space="preserve">     AND</w:t>
      </w:r>
    </w:p>
    <w:p w:rsidR="004C4934" w:rsidRDefault="004C4934" w:rsidP="004C4934">
      <w:pPr>
        <w:pStyle w:val="CodeText"/>
      </w:pPr>
      <w:r>
        <w:t xml:space="preserve">     { UNBOUNDED FOLLOWING</w:t>
      </w:r>
    </w:p>
    <w:p w:rsidR="004C4934" w:rsidRDefault="004C4934" w:rsidP="004C4934">
      <w:pPr>
        <w:pStyle w:val="CodeText"/>
      </w:pPr>
      <w:r>
        <w:t xml:space="preserve">     | CURRENT ROW</w:t>
      </w:r>
    </w:p>
    <w:p w:rsidR="004C4934" w:rsidRDefault="004C4934" w:rsidP="004C4934">
      <w:pPr>
        <w:pStyle w:val="CodeText"/>
      </w:pPr>
      <w:r>
        <w:t xml:space="preserve">     | value_expr { PRECEDING | FOLLOWING }</w:t>
      </w:r>
    </w:p>
    <w:p w:rsidR="004C4934" w:rsidRDefault="004C4934" w:rsidP="004C4934">
      <w:pPr>
        <w:pStyle w:val="CodeText"/>
      </w:pPr>
      <w:r>
        <w:t xml:space="preserve">     }</w:t>
      </w:r>
    </w:p>
    <w:p w:rsidR="004C4934" w:rsidRDefault="004C4934" w:rsidP="004C4934">
      <w:pPr>
        <w:pStyle w:val="CodeText"/>
      </w:pPr>
      <w:r>
        <w:t xml:space="preserve">   | { UNBOUNDED PRECEDING</w:t>
      </w:r>
    </w:p>
    <w:p w:rsidR="004C4934" w:rsidRDefault="004C4934" w:rsidP="004C4934">
      <w:pPr>
        <w:pStyle w:val="CodeText"/>
      </w:pPr>
      <w:r>
        <w:t xml:space="preserve">     | CURRENT ROW</w:t>
      </w:r>
    </w:p>
    <w:p w:rsidR="004C4934" w:rsidRDefault="004C4934" w:rsidP="004C4934">
      <w:pPr>
        <w:pStyle w:val="CodeText"/>
      </w:pPr>
      <w:r>
        <w:t xml:space="preserve">     | value_expr PRECEDING</w:t>
      </w:r>
    </w:p>
    <w:p w:rsidR="004C4934" w:rsidRDefault="004C4934" w:rsidP="004C4934">
      <w:pPr>
        <w:pStyle w:val="CodeText"/>
      </w:pPr>
      <w:r>
        <w:t xml:space="preserve">     }</w:t>
      </w:r>
    </w:p>
    <w:p w:rsidR="004C4934" w:rsidRDefault="004C4934" w:rsidP="004C4934">
      <w:pPr>
        <w:pStyle w:val="CodeText"/>
      </w:pPr>
      <w:r>
        <w:t xml:space="preserve">   }</w:t>
      </w:r>
    </w:p>
    <w:p w:rsidR="00A06E62" w:rsidRDefault="004C4934" w:rsidP="004C4934">
      <w:pPr>
        <w:pStyle w:val="BodyText"/>
        <w:rPr>
          <w:b/>
        </w:rPr>
      </w:pPr>
      <w:r w:rsidRPr="004C4934">
        <w:rPr>
          <w:b/>
        </w:rPr>
        <w:t>Note that the DISTINCT keyword is not supported in windowing functions except for MAX and MIN.</w:t>
      </w:r>
    </w:p>
    <w:p w:rsidR="007F67E1" w:rsidRDefault="007F67E1" w:rsidP="004C4934">
      <w:pPr>
        <w:pStyle w:val="BodyText"/>
      </w:pPr>
      <w:r>
        <w:t xml:space="preserve">See also: </w:t>
      </w:r>
      <w:hyperlink r:id="rId15" w:anchor="SQLRF20035" w:history="1">
        <w:r w:rsidRPr="007F67E1">
          <w:rPr>
            <w:rStyle w:val="Hyperlink"/>
          </w:rPr>
          <w:t>Analytic Functions Syntax Reference</w:t>
        </w:r>
      </w:hyperlink>
    </w:p>
    <w:p w:rsidR="000545B5" w:rsidRDefault="000545B5" w:rsidP="000545B5">
      <w:pPr>
        <w:pStyle w:val="Heading3"/>
      </w:pPr>
      <w:bookmarkStart w:id="13" w:name="_Toc317444343"/>
      <w:r>
        <w:t>Physical and Logical Offset</w:t>
      </w:r>
      <w:bookmarkEnd w:id="13"/>
    </w:p>
    <w:p w:rsidR="00A92018" w:rsidRDefault="00A92018" w:rsidP="00A92018">
      <w:pPr>
        <w:pStyle w:val="BodyText"/>
      </w:pPr>
      <w:r w:rsidRPr="00A92018">
        <w:rPr>
          <w:b/>
        </w:rPr>
        <w:t xml:space="preserve">ROWS | RANGE </w:t>
      </w:r>
      <w:proofErr w:type="gramStart"/>
      <w:r>
        <w:t>These</w:t>
      </w:r>
      <w:proofErr w:type="gramEnd"/>
      <w:r>
        <w:t xml:space="preserve"> keywords define for each row a window (a physical or logical set of rows) used for calculating the function result. The function is then applied to all the rows in the window. The window moves through the query result set or partition from top to bottom.</w:t>
      </w:r>
    </w:p>
    <w:p w:rsidR="00A92018" w:rsidRDefault="00A92018" w:rsidP="00A92018">
      <w:pPr>
        <w:pStyle w:val="BodyText"/>
        <w:numPr>
          <w:ilvl w:val="0"/>
          <w:numId w:val="21"/>
        </w:numPr>
      </w:pPr>
      <w:proofErr w:type="gramStart"/>
      <w:r>
        <w:t>ROWS specifies</w:t>
      </w:r>
      <w:proofErr w:type="gramEnd"/>
      <w:r>
        <w:t xml:space="preserve"> the window in physical units (rows).</w:t>
      </w:r>
    </w:p>
    <w:p w:rsidR="00A92018" w:rsidRDefault="00A92018" w:rsidP="00A92018">
      <w:pPr>
        <w:pStyle w:val="BodyText"/>
        <w:numPr>
          <w:ilvl w:val="0"/>
          <w:numId w:val="21"/>
        </w:numPr>
      </w:pPr>
      <w:r>
        <w:lastRenderedPageBreak/>
        <w:t>RANGE specifies the window as a logical offset.</w:t>
      </w:r>
    </w:p>
    <w:p w:rsidR="00A92018" w:rsidRDefault="00A92018" w:rsidP="00A92018">
      <w:pPr>
        <w:pStyle w:val="BodyText"/>
      </w:pPr>
      <w:r>
        <w:t xml:space="preserve">If you specified </w:t>
      </w:r>
      <w:r w:rsidRPr="00A92018">
        <w:rPr>
          <w:b/>
        </w:rPr>
        <w:t>ROWS</w:t>
      </w:r>
      <w:r>
        <w:t>:</w:t>
      </w:r>
    </w:p>
    <w:p w:rsidR="00A92018" w:rsidRDefault="00A92018" w:rsidP="00A92018">
      <w:pPr>
        <w:pStyle w:val="BodyText"/>
        <w:numPr>
          <w:ilvl w:val="0"/>
          <w:numId w:val="22"/>
        </w:numPr>
      </w:pPr>
      <w:proofErr w:type="spellStart"/>
      <w:proofErr w:type="gramStart"/>
      <w:r>
        <w:t>value_expr</w:t>
      </w:r>
      <w:proofErr w:type="spellEnd"/>
      <w:proofErr w:type="gramEnd"/>
      <w:r>
        <w:t xml:space="preserve"> is a physical offset. It must be a constant or expression and must evaluate to a positive numeric value.</w:t>
      </w:r>
    </w:p>
    <w:p w:rsidR="00A92018" w:rsidRDefault="00A92018" w:rsidP="00A92018">
      <w:pPr>
        <w:pStyle w:val="BodyText"/>
        <w:numPr>
          <w:ilvl w:val="0"/>
          <w:numId w:val="22"/>
        </w:numPr>
      </w:pPr>
      <w:r>
        <w:t xml:space="preserve">If </w:t>
      </w:r>
      <w:proofErr w:type="spellStart"/>
      <w:r>
        <w:t>value_expr</w:t>
      </w:r>
      <w:proofErr w:type="spellEnd"/>
      <w:r>
        <w:t xml:space="preserve"> is part of the start point, then it must evaluate to a row before the end point.</w:t>
      </w:r>
    </w:p>
    <w:p w:rsidR="00A92018" w:rsidRDefault="00A92018" w:rsidP="00A92018">
      <w:pPr>
        <w:pStyle w:val="BodyText"/>
      </w:pPr>
      <w:r>
        <w:t xml:space="preserve">If you specified </w:t>
      </w:r>
      <w:r w:rsidRPr="00A92018">
        <w:rPr>
          <w:b/>
        </w:rPr>
        <w:t>RANGE</w:t>
      </w:r>
      <w:r>
        <w:t>:</w:t>
      </w:r>
    </w:p>
    <w:p w:rsidR="00A92018" w:rsidRDefault="00A92018" w:rsidP="00A92018">
      <w:pPr>
        <w:pStyle w:val="BodyText"/>
        <w:numPr>
          <w:ilvl w:val="0"/>
          <w:numId w:val="23"/>
        </w:numPr>
      </w:pPr>
      <w:proofErr w:type="spellStart"/>
      <w:proofErr w:type="gramStart"/>
      <w:r>
        <w:t>value_expr</w:t>
      </w:r>
      <w:proofErr w:type="spellEnd"/>
      <w:proofErr w:type="gramEnd"/>
      <w:r>
        <w:t xml:space="preserve"> is a logical offset. It must be a constant or expression that evaluates to a positive numeric value or an interval literal. Refer to "Literals" for information on interval literals.</w:t>
      </w:r>
    </w:p>
    <w:p w:rsidR="00A92018" w:rsidRDefault="00A92018" w:rsidP="00A92018">
      <w:pPr>
        <w:pStyle w:val="BodyText"/>
        <w:numPr>
          <w:ilvl w:val="0"/>
          <w:numId w:val="23"/>
        </w:numPr>
      </w:pPr>
      <w:r>
        <w:t xml:space="preserve">You can specify only one expression in the </w:t>
      </w:r>
      <w:proofErr w:type="spellStart"/>
      <w:r>
        <w:t>order_by_clause</w:t>
      </w:r>
      <w:proofErr w:type="spellEnd"/>
    </w:p>
    <w:p w:rsidR="00A92018" w:rsidRDefault="00A92018" w:rsidP="00A92018">
      <w:pPr>
        <w:pStyle w:val="BodyText"/>
        <w:numPr>
          <w:ilvl w:val="0"/>
          <w:numId w:val="23"/>
        </w:numPr>
      </w:pPr>
      <w:r>
        <w:t xml:space="preserve">If </w:t>
      </w:r>
      <w:proofErr w:type="spellStart"/>
      <w:r>
        <w:t>value_expr</w:t>
      </w:r>
      <w:proofErr w:type="spellEnd"/>
      <w:r>
        <w:t xml:space="preserve"> evaluates to a numeric value, then the ORDER BY </w:t>
      </w:r>
      <w:proofErr w:type="spellStart"/>
      <w:r>
        <w:t>expr</w:t>
      </w:r>
      <w:proofErr w:type="spellEnd"/>
      <w:r>
        <w:t xml:space="preserve"> must be a numeric or DATE </w:t>
      </w:r>
      <w:proofErr w:type="spellStart"/>
      <w:r>
        <w:t>datatype</w:t>
      </w:r>
      <w:proofErr w:type="spellEnd"/>
      <w:r>
        <w:t>.</w:t>
      </w:r>
    </w:p>
    <w:p w:rsidR="00A92018" w:rsidRDefault="00A92018" w:rsidP="00A92018">
      <w:pPr>
        <w:pStyle w:val="BodyText"/>
        <w:numPr>
          <w:ilvl w:val="0"/>
          <w:numId w:val="23"/>
        </w:numPr>
      </w:pPr>
      <w:r>
        <w:t xml:space="preserve">If </w:t>
      </w:r>
      <w:proofErr w:type="spellStart"/>
      <w:r>
        <w:t>value_expr</w:t>
      </w:r>
      <w:proofErr w:type="spellEnd"/>
      <w:r>
        <w:t xml:space="preserve"> evaluates to an interval value, then the ORDER BY </w:t>
      </w:r>
      <w:proofErr w:type="spellStart"/>
      <w:r>
        <w:t>expr</w:t>
      </w:r>
      <w:proofErr w:type="spellEnd"/>
      <w:r>
        <w:t xml:space="preserve"> must be a DATE </w:t>
      </w:r>
      <w:proofErr w:type="spellStart"/>
      <w:r>
        <w:t>datatype</w:t>
      </w:r>
      <w:proofErr w:type="spellEnd"/>
      <w:r>
        <w:t>.</w:t>
      </w:r>
    </w:p>
    <w:p w:rsidR="007F67E1" w:rsidRDefault="00A92018" w:rsidP="00A92018">
      <w:pPr>
        <w:pStyle w:val="BodyText"/>
        <w:rPr>
          <w:b/>
        </w:rPr>
      </w:pPr>
      <w:r w:rsidRPr="00A92018">
        <w:rPr>
          <w:b/>
        </w:rPr>
        <w:t xml:space="preserve">If you omit the </w:t>
      </w:r>
      <w:proofErr w:type="spellStart"/>
      <w:r w:rsidRPr="00A92018">
        <w:rPr>
          <w:b/>
        </w:rPr>
        <w:t>windowing_clause</w:t>
      </w:r>
      <w:proofErr w:type="spellEnd"/>
      <w:r w:rsidRPr="00A92018">
        <w:rPr>
          <w:b/>
        </w:rPr>
        <w:t xml:space="preserve"> entirely, then the default is RANGE BETWEEN UNBOUNDED PRECEDING AND CURRENT ROW.</w:t>
      </w:r>
    </w:p>
    <w:p w:rsidR="005840D5" w:rsidRPr="005840D5" w:rsidRDefault="005840D5" w:rsidP="005840D5">
      <w:pPr>
        <w:pStyle w:val="BodyText"/>
      </w:pPr>
      <w:r w:rsidRPr="005840D5">
        <w:t>A logical offset can be specified with constants such as RANGE 10 PRECEDING, or an expression that evaluates to a constant, or by an interval specification like RANGE INTERVAL N DAY/MONTH/YEAR PRECEDING or an expression that evaluates to an interval.</w:t>
      </w:r>
    </w:p>
    <w:p w:rsidR="005840D5" w:rsidRPr="005840D5" w:rsidRDefault="005840D5" w:rsidP="005840D5">
      <w:pPr>
        <w:pStyle w:val="BodyText"/>
      </w:pPr>
      <w:r w:rsidRPr="005840D5">
        <w:t>With logical offset, there can only be one expression in the ORDER BY expression list in the function, with type compatible to NUMERIC if offset is numeric, or DATE if an interval is specified.</w:t>
      </w:r>
    </w:p>
    <w:p w:rsidR="005840D5" w:rsidRPr="005840D5" w:rsidRDefault="005840D5" w:rsidP="005840D5">
      <w:pPr>
        <w:pStyle w:val="BodyText"/>
      </w:pPr>
      <w:r w:rsidRPr="005840D5">
        <w:t>An analytic function that uses the RANGE keyword can use multiple sort keys in its ORDER BY clause if it specifies either of these two windows:</w:t>
      </w:r>
    </w:p>
    <w:p w:rsidR="005840D5" w:rsidRPr="005840D5" w:rsidRDefault="005840D5" w:rsidP="005840D5">
      <w:pPr>
        <w:pStyle w:val="BodyText"/>
        <w:numPr>
          <w:ilvl w:val="0"/>
          <w:numId w:val="24"/>
        </w:numPr>
      </w:pPr>
      <w:r w:rsidRPr="005840D5">
        <w:t>RANGE BETWEEN UNBOUNDED PRECEDING AND CURRENT ROW. (The short form of this is RANGE UNBOUNDED PRECEDING, which can also be used.)</w:t>
      </w:r>
    </w:p>
    <w:p w:rsidR="005840D5" w:rsidRPr="005840D5" w:rsidRDefault="005840D5" w:rsidP="005840D5">
      <w:pPr>
        <w:pStyle w:val="BodyText"/>
        <w:numPr>
          <w:ilvl w:val="0"/>
          <w:numId w:val="24"/>
        </w:numPr>
      </w:pPr>
      <w:r w:rsidRPr="005840D5">
        <w:t>RANGE BETWEEN CURRENT ROW AND UNBOUNDED FOLLOWING.</w:t>
      </w:r>
    </w:p>
    <w:p w:rsidR="00A92018" w:rsidRDefault="005840D5" w:rsidP="005840D5">
      <w:pPr>
        <w:pStyle w:val="BodyText"/>
      </w:pPr>
      <w:r w:rsidRPr="005840D5">
        <w:t>Window boundaries that do not meet these conditions can have only one sort key in the analytic function's ORDER BY clause.</w:t>
      </w:r>
    </w:p>
    <w:p w:rsidR="002D6A03" w:rsidRDefault="002D6A03" w:rsidP="000545B5">
      <w:pPr>
        <w:pStyle w:val="Heading3"/>
      </w:pPr>
      <w:bookmarkStart w:id="14" w:name="_Toc317444344"/>
      <w:r>
        <w:t>Centered Aggregate Function</w:t>
      </w:r>
      <w:bookmarkEnd w:id="14"/>
    </w:p>
    <w:p w:rsidR="002D6A03" w:rsidRDefault="002D6A03" w:rsidP="002D6A03">
      <w:pPr>
        <w:pStyle w:val="BodyText"/>
      </w:pPr>
      <w:r>
        <w:t xml:space="preserve">Calculating windowing aggregate functions centered </w:t>
      </w:r>
      <w:proofErr w:type="gramStart"/>
      <w:r>
        <w:t>around</w:t>
      </w:r>
      <w:proofErr w:type="gramEnd"/>
      <w:r>
        <w:t xml:space="preserve"> the current row is straightforward. This example computes for all customers a centered moving average of sales for one week in late December 1999. It finds an average of the sales total for the one day preceding the current row and one day following the current row including the current row as well.</w:t>
      </w:r>
    </w:p>
    <w:p w:rsidR="002D6A03" w:rsidRDefault="002D6A03" w:rsidP="000545B5">
      <w:pPr>
        <w:pStyle w:val="CodeText"/>
      </w:pPr>
      <w:r>
        <w:t>SELECT t.time_id, TO_CHAR (SUM(amount_sold), '9,999,999,999')</w:t>
      </w:r>
    </w:p>
    <w:p w:rsidR="002D6A03" w:rsidRDefault="002D6A03" w:rsidP="000545B5">
      <w:pPr>
        <w:pStyle w:val="CodeText"/>
      </w:pPr>
      <w:r>
        <w:t>AS SALES, TO_CHAR(AVG(SUM(amount_sold)) OVER</w:t>
      </w:r>
    </w:p>
    <w:p w:rsidR="002D6A03" w:rsidRDefault="002D6A03" w:rsidP="000545B5">
      <w:pPr>
        <w:pStyle w:val="CodeText"/>
      </w:pPr>
      <w:r>
        <w:t xml:space="preserve">  (ORDER BY t.time_id</w:t>
      </w:r>
    </w:p>
    <w:p w:rsidR="002D6A03" w:rsidRDefault="002D6A03" w:rsidP="000545B5">
      <w:pPr>
        <w:pStyle w:val="CodeText"/>
      </w:pPr>
      <w:r>
        <w:t xml:space="preserve">   RANGE BETWEEN INTERVAL '1' DAY PRECEDING AND</w:t>
      </w:r>
    </w:p>
    <w:p w:rsidR="002D6A03" w:rsidRDefault="002D6A03" w:rsidP="000545B5">
      <w:pPr>
        <w:pStyle w:val="CodeText"/>
      </w:pPr>
      <w:r>
        <w:t xml:space="preserve">   INTERVAL '1' DAY FOLLOWING), '9,999,999,999') AS CENTERED_3_DAY_AVG</w:t>
      </w:r>
    </w:p>
    <w:p w:rsidR="002D6A03" w:rsidRDefault="002D6A03" w:rsidP="000545B5">
      <w:pPr>
        <w:pStyle w:val="CodeText"/>
      </w:pPr>
      <w:r>
        <w:t xml:space="preserve">   FROM sales s, times t</w:t>
      </w:r>
    </w:p>
    <w:p w:rsidR="002D6A03" w:rsidRDefault="002D6A03" w:rsidP="000545B5">
      <w:pPr>
        <w:pStyle w:val="CodeText"/>
      </w:pPr>
      <w:r>
        <w:t xml:space="preserve">   WHERE s.time_id=t.time_id AND t.calendar_week_number IN (51)</w:t>
      </w:r>
    </w:p>
    <w:p w:rsidR="002D6A03" w:rsidRDefault="002D6A03" w:rsidP="000545B5">
      <w:pPr>
        <w:pStyle w:val="CodeText"/>
      </w:pPr>
      <w:r>
        <w:t xml:space="preserve">     AND calendar_year=1999</w:t>
      </w:r>
    </w:p>
    <w:p w:rsidR="002D6A03" w:rsidRDefault="002D6A03" w:rsidP="000545B5">
      <w:pPr>
        <w:pStyle w:val="CodeText"/>
      </w:pPr>
      <w:r>
        <w:t xml:space="preserve">   GROUP BY t.time_id</w:t>
      </w:r>
    </w:p>
    <w:p w:rsidR="002D6A03" w:rsidRDefault="002D6A03" w:rsidP="000545B5">
      <w:pPr>
        <w:pStyle w:val="CodeText"/>
      </w:pPr>
      <w:r>
        <w:t xml:space="preserve">   ORDER BY t.time_id;</w:t>
      </w:r>
    </w:p>
    <w:p w:rsidR="005840D5" w:rsidRDefault="002D6A03" w:rsidP="002D6A03">
      <w:pPr>
        <w:pStyle w:val="BodyText"/>
      </w:pPr>
      <w:r w:rsidRPr="000545B5">
        <w:rPr>
          <w:b/>
        </w:rPr>
        <w:t>The starting and ending rows for each product's centered moving average calculation in the output data are based on just two days, since the window calculation cannot reach past the data retrieved by the query.</w:t>
      </w:r>
      <w:r>
        <w:t xml:space="preserve"> Users need to consider the different window sizes found at the borders of result sets: the query may need to be adjusted.</w:t>
      </w:r>
    </w:p>
    <w:p w:rsidR="00805A69" w:rsidRDefault="00805A69" w:rsidP="00805A69">
      <w:pPr>
        <w:pStyle w:val="Heading3"/>
      </w:pPr>
      <w:bookmarkStart w:id="15" w:name="_Toc317444345"/>
      <w:r>
        <w:t>Varying Window Size for Each Row</w:t>
      </w:r>
      <w:bookmarkEnd w:id="15"/>
    </w:p>
    <w:p w:rsidR="00805A69" w:rsidRDefault="00805A69" w:rsidP="00805A69">
      <w:pPr>
        <w:pStyle w:val="BodyText"/>
      </w:pPr>
    </w:p>
    <w:p w:rsidR="00805A69" w:rsidRDefault="00805A69" w:rsidP="00805A69">
      <w:pPr>
        <w:pStyle w:val="BodyText"/>
      </w:pPr>
      <w:r>
        <w:lastRenderedPageBreak/>
        <w:t>There are situations where it is useful to vary the size of a window for each row, based on a specified condition. For instance, you may want to make the window larger for certain dates and smaller for others.</w:t>
      </w:r>
    </w:p>
    <w:p w:rsidR="00805A69" w:rsidRDefault="00805A69" w:rsidP="00805A69">
      <w:pPr>
        <w:pStyle w:val="CodeText"/>
      </w:pPr>
      <w:r>
        <w:t xml:space="preserve">SELECT T.TIME_ID, T.DAY_NAME, TO_CHAR (SUM(AMOUNT_SOLD), '9,999,999,999') AS SALES, </w:t>
      </w:r>
    </w:p>
    <w:p w:rsidR="00805A69" w:rsidRDefault="00805A69" w:rsidP="00805A69">
      <w:pPr>
        <w:pStyle w:val="CodeText"/>
      </w:pPr>
      <w:r>
        <w:t xml:space="preserve">  TO_CHAR(AVG(SUM(AMOUNT_SOLD)) OVER (ORDER BY T.TIME_ID</w:t>
      </w:r>
    </w:p>
    <w:p w:rsidR="00805A69" w:rsidRDefault="00805A69" w:rsidP="00805A69">
      <w:pPr>
        <w:pStyle w:val="CodeText"/>
      </w:pPr>
      <w:r>
        <w:t xml:space="preserve">   RANGE BETWEEN INTERVAL '1' DAY PRECEDING AND</w:t>
      </w:r>
    </w:p>
    <w:p w:rsidR="00805A69" w:rsidRDefault="00805A69" w:rsidP="00805A69">
      <w:pPr>
        <w:pStyle w:val="CodeText"/>
      </w:pPr>
      <w:r>
        <w:t xml:space="preserve">   INTERVAL '1' DAY FOLLOWING), '9,999,999,999') AS CENTERED_3_DAY_AVG,</w:t>
      </w:r>
    </w:p>
    <w:p w:rsidR="00805A69" w:rsidRDefault="00805A69" w:rsidP="00805A69">
      <w:pPr>
        <w:pStyle w:val="CodeText"/>
      </w:pPr>
      <w:r>
        <w:t xml:space="preserve">  TO_CHAR(AVG(SUM(AMOUNT_SOLD)) OVER (ORDER BY T.TIME_ID</w:t>
      </w:r>
    </w:p>
    <w:p w:rsidR="00805A69" w:rsidRDefault="00805A69" w:rsidP="00805A69">
      <w:pPr>
        <w:pStyle w:val="CodeText"/>
      </w:pPr>
      <w:r>
        <w:t xml:space="preserve">   RANGE BETWEEN  </w:t>
      </w:r>
    </w:p>
    <w:p w:rsidR="00805A69" w:rsidRDefault="00805A69" w:rsidP="00805A69">
      <w:pPr>
        <w:pStyle w:val="CodeText"/>
      </w:pPr>
      <w:r>
        <w:t xml:space="preserve">    (CASE WHEN T.DAY_NAME = 'Monday' THEN (INTERVAL '2' DAY) ELSE (INTERVAL '1' DAY) END) PRECEDING</w:t>
      </w:r>
    </w:p>
    <w:p w:rsidR="00805A69" w:rsidRDefault="00805A69" w:rsidP="00805A69">
      <w:pPr>
        <w:pStyle w:val="CodeText"/>
      </w:pPr>
      <w:r>
        <w:t xml:space="preserve">   AND</w:t>
      </w:r>
    </w:p>
    <w:p w:rsidR="00805A69" w:rsidRDefault="00805A69" w:rsidP="00805A69">
      <w:pPr>
        <w:pStyle w:val="CodeText"/>
      </w:pPr>
      <w:r>
        <w:t xml:space="preserve">   INTERVAL '1' DAY FOLLOWING), '9,999,999,999') AS CENTERED_3_DAY_AVG</w:t>
      </w:r>
    </w:p>
    <w:p w:rsidR="00805A69" w:rsidRDefault="00805A69" w:rsidP="00805A69">
      <w:pPr>
        <w:pStyle w:val="CodeText"/>
      </w:pPr>
      <w:r>
        <w:t>FROM SALES S, TIMES T</w:t>
      </w:r>
    </w:p>
    <w:p w:rsidR="00805A69" w:rsidRDefault="00805A69" w:rsidP="00805A69">
      <w:pPr>
        <w:pStyle w:val="CodeText"/>
      </w:pPr>
      <w:r>
        <w:t>WHERE S.TIME_ID=T.TIME_ID AND T.CALENDAR_WEEK_NUMBER IN (50, 51)</w:t>
      </w:r>
    </w:p>
    <w:p w:rsidR="00805A69" w:rsidRDefault="00805A69" w:rsidP="00805A69">
      <w:pPr>
        <w:pStyle w:val="CodeText"/>
      </w:pPr>
      <w:r>
        <w:t xml:space="preserve">  AND CALENDAR_YEAR=1999</w:t>
      </w:r>
    </w:p>
    <w:p w:rsidR="00805A69" w:rsidRDefault="00805A69" w:rsidP="00805A69">
      <w:pPr>
        <w:pStyle w:val="CodeText"/>
      </w:pPr>
      <w:r>
        <w:t>GROUP BY T.TIME_ID, T.DAY_NAME</w:t>
      </w:r>
    </w:p>
    <w:p w:rsidR="00805A69" w:rsidRDefault="00805A69" w:rsidP="00805A69">
      <w:pPr>
        <w:pStyle w:val="CodeText"/>
      </w:pPr>
      <w:r>
        <w:t>ORDER BY T.TIME_ID;</w:t>
      </w:r>
    </w:p>
    <w:p w:rsidR="00805A69" w:rsidRDefault="008449AF" w:rsidP="008449AF">
      <w:pPr>
        <w:pStyle w:val="Heading2"/>
      </w:pPr>
      <w:bookmarkStart w:id="16" w:name="_Toc317444346"/>
      <w:r>
        <w:t>LISTAGG Function</w:t>
      </w:r>
      <w:bookmarkEnd w:id="16"/>
    </w:p>
    <w:p w:rsidR="008449AF" w:rsidRDefault="008449AF" w:rsidP="008449AF">
      <w:pPr>
        <w:pStyle w:val="BodyText"/>
      </w:pPr>
      <w:r>
        <w:t>For a specified measure, LISTAGG orders data within each group specified in the ORDER BY clause and then concatenates the values of the measure column.</w:t>
      </w:r>
    </w:p>
    <w:p w:rsidR="008449AF" w:rsidRDefault="008449AF" w:rsidP="008449AF">
      <w:pPr>
        <w:pStyle w:val="BodyText"/>
        <w:numPr>
          <w:ilvl w:val="0"/>
          <w:numId w:val="25"/>
        </w:numPr>
      </w:pPr>
      <w:r>
        <w:t>As a single-set aggregate function, LISTAGG operates on all rows and returns a single output row.</w:t>
      </w:r>
    </w:p>
    <w:p w:rsidR="008449AF" w:rsidRDefault="008449AF" w:rsidP="008449AF">
      <w:pPr>
        <w:pStyle w:val="BodyText"/>
        <w:numPr>
          <w:ilvl w:val="0"/>
          <w:numId w:val="25"/>
        </w:numPr>
      </w:pPr>
      <w:r>
        <w:t>As a group-set aggregate, the function operates on and returns an output row for each group defined by the GROUP BY clause.</w:t>
      </w:r>
    </w:p>
    <w:p w:rsidR="008449AF" w:rsidRDefault="008449AF" w:rsidP="008449AF">
      <w:pPr>
        <w:pStyle w:val="BodyText"/>
        <w:numPr>
          <w:ilvl w:val="0"/>
          <w:numId w:val="25"/>
        </w:numPr>
      </w:pPr>
      <w:r>
        <w:t xml:space="preserve">As an analytic function, LISTAGG partitions the query result set into groups based on one or more expression in the </w:t>
      </w:r>
      <w:proofErr w:type="spellStart"/>
      <w:r>
        <w:t>query_partition_clause</w:t>
      </w:r>
      <w:proofErr w:type="spellEnd"/>
      <w:r>
        <w:t>.</w:t>
      </w:r>
    </w:p>
    <w:p w:rsidR="008449AF" w:rsidRDefault="008449AF" w:rsidP="008449AF">
      <w:pPr>
        <w:pStyle w:val="BodyText"/>
      </w:pPr>
      <w:r>
        <w:t>The arguments to the function are subject to the following rules:</w:t>
      </w:r>
    </w:p>
    <w:p w:rsidR="008449AF" w:rsidRDefault="008449AF" w:rsidP="008449AF">
      <w:pPr>
        <w:pStyle w:val="BodyText"/>
        <w:numPr>
          <w:ilvl w:val="0"/>
          <w:numId w:val="26"/>
        </w:numPr>
      </w:pPr>
      <w:r>
        <w:t xml:space="preserve">The </w:t>
      </w:r>
      <w:proofErr w:type="spellStart"/>
      <w:r>
        <w:t>measure_expr</w:t>
      </w:r>
      <w:proofErr w:type="spellEnd"/>
      <w:r>
        <w:t xml:space="preserve"> can be any expression. Null values in the measure column are ignored. </w:t>
      </w:r>
    </w:p>
    <w:p w:rsidR="008449AF" w:rsidRDefault="008449AF" w:rsidP="008449AF">
      <w:pPr>
        <w:pStyle w:val="BodyText"/>
        <w:numPr>
          <w:ilvl w:val="0"/>
          <w:numId w:val="26"/>
        </w:numPr>
      </w:pPr>
      <w:r>
        <w:t xml:space="preserve">The </w:t>
      </w:r>
      <w:proofErr w:type="spellStart"/>
      <w:r>
        <w:t>delimiter_expr</w:t>
      </w:r>
      <w:proofErr w:type="spellEnd"/>
      <w:r>
        <w:t xml:space="preserve"> designates the string that is to separate the measure values. This clause is optional and defaults to NULL. </w:t>
      </w:r>
    </w:p>
    <w:p w:rsidR="008449AF" w:rsidRDefault="008449AF" w:rsidP="008449AF">
      <w:pPr>
        <w:pStyle w:val="BodyText"/>
        <w:numPr>
          <w:ilvl w:val="0"/>
          <w:numId w:val="26"/>
        </w:numPr>
      </w:pPr>
      <w:r>
        <w:t xml:space="preserve">The </w:t>
      </w:r>
      <w:proofErr w:type="spellStart"/>
      <w:r>
        <w:t>order_by_clause</w:t>
      </w:r>
      <w:proofErr w:type="spellEnd"/>
      <w:r>
        <w:t xml:space="preserve"> determines the order in which the concatenated values are returned. The function is deterministic only if the ORDER BY column list achieved unique ordering.</w:t>
      </w:r>
    </w:p>
    <w:p w:rsidR="008449AF" w:rsidRDefault="008449AF" w:rsidP="008449AF">
      <w:pPr>
        <w:pStyle w:val="BodyText"/>
      </w:pPr>
      <w:r>
        <w:t>The return data type is RAW if the measure column is RAW; otherwise the return value is VARCHAR2.</w:t>
      </w:r>
    </w:p>
    <w:p w:rsidR="008449AF" w:rsidRDefault="008449AF" w:rsidP="008449AF">
      <w:pPr>
        <w:pStyle w:val="BodyText"/>
      </w:pPr>
      <w:r>
        <w:t xml:space="preserve">See also: </w:t>
      </w:r>
      <w:hyperlink r:id="rId16" w:history="1">
        <w:r w:rsidRPr="008449AF">
          <w:rPr>
            <w:rStyle w:val="Hyperlink"/>
          </w:rPr>
          <w:t>LISTAGG function in Oracle 11g release 2</w:t>
        </w:r>
      </w:hyperlink>
    </w:p>
    <w:p w:rsidR="008449AF" w:rsidRDefault="00716588" w:rsidP="00716588">
      <w:pPr>
        <w:pStyle w:val="Heading2"/>
      </w:pPr>
      <w:bookmarkStart w:id="17" w:name="_Toc317444347"/>
      <w:r>
        <w:t>NTH_VALUE Function</w:t>
      </w:r>
      <w:bookmarkEnd w:id="17"/>
    </w:p>
    <w:p w:rsidR="00716588" w:rsidRDefault="00716588" w:rsidP="00716588">
      <w:pPr>
        <w:pStyle w:val="BodyText"/>
      </w:pPr>
      <w:r>
        <w:t xml:space="preserve">NTH_VALUE returns the </w:t>
      </w:r>
      <w:proofErr w:type="spellStart"/>
      <w:r>
        <w:t>measure_expr</w:t>
      </w:r>
      <w:proofErr w:type="spellEnd"/>
      <w:r>
        <w:t xml:space="preserve"> value of the nth row in the window defined by the </w:t>
      </w:r>
      <w:proofErr w:type="spellStart"/>
      <w:r>
        <w:t>analytic_clause</w:t>
      </w:r>
      <w:proofErr w:type="spellEnd"/>
      <w:r>
        <w:t xml:space="preserve">. The returned value has the data type of the </w:t>
      </w:r>
      <w:proofErr w:type="spellStart"/>
      <w:r>
        <w:t>measure_expr</w:t>
      </w:r>
      <w:proofErr w:type="spellEnd"/>
      <w:r>
        <w:t>.</w:t>
      </w:r>
    </w:p>
    <w:p w:rsidR="00716588" w:rsidRDefault="00716588" w:rsidP="00716588">
      <w:pPr>
        <w:pStyle w:val="BodyText"/>
      </w:pPr>
      <w:r>
        <w:t xml:space="preserve">{RESPECT | IGNORE} </w:t>
      </w:r>
      <w:proofErr w:type="gramStart"/>
      <w:r>
        <w:t>NULLS determines</w:t>
      </w:r>
      <w:proofErr w:type="gramEnd"/>
      <w:r>
        <w:t xml:space="preserve"> whether </w:t>
      </w:r>
      <w:r w:rsidRPr="00716588">
        <w:rPr>
          <w:b/>
        </w:rPr>
        <w:t xml:space="preserve">null values of </w:t>
      </w:r>
      <w:proofErr w:type="spellStart"/>
      <w:r w:rsidRPr="00716588">
        <w:rPr>
          <w:b/>
        </w:rPr>
        <w:t>measure_expr</w:t>
      </w:r>
      <w:proofErr w:type="spellEnd"/>
      <w:r w:rsidRPr="00716588">
        <w:rPr>
          <w:b/>
        </w:rPr>
        <w:t xml:space="preserve"> are included in or eliminated</w:t>
      </w:r>
      <w:r>
        <w:t xml:space="preserve"> from the calculation. The default is RESPECT NULLS.</w:t>
      </w:r>
    </w:p>
    <w:p w:rsidR="00716588" w:rsidRDefault="00716588" w:rsidP="00716588">
      <w:pPr>
        <w:pStyle w:val="BodyText"/>
      </w:pPr>
      <w:r>
        <w:t xml:space="preserve">Parameter n determines the nth row for which the measure value is to be returned. </w:t>
      </w:r>
      <w:proofErr w:type="gramStart"/>
      <w:r>
        <w:t>n</w:t>
      </w:r>
      <w:proofErr w:type="gramEnd"/>
      <w:r>
        <w:t xml:space="preserve"> can be a constant, bind variable, column, or an expression involving them, as long as it resolves to a positive integer. The function returns NULL if the data source window has fewer than n rows. If n is null, then the function returns an error.</w:t>
      </w:r>
    </w:p>
    <w:p w:rsidR="00716588" w:rsidRDefault="00716588" w:rsidP="00716588">
      <w:pPr>
        <w:pStyle w:val="BodyText"/>
      </w:pPr>
      <w:r>
        <w:t xml:space="preserve">FROM {FIRST | LAST} determines whether the </w:t>
      </w:r>
      <w:r w:rsidRPr="00716588">
        <w:rPr>
          <w:b/>
        </w:rPr>
        <w:t>calculation begins at the first or last row of the window</w:t>
      </w:r>
      <w:r>
        <w:t>. The default is FROM FIRST.</w:t>
      </w:r>
    </w:p>
    <w:p w:rsidR="003E73F2" w:rsidRPr="00716588" w:rsidRDefault="003E73F2" w:rsidP="00716588">
      <w:pPr>
        <w:pStyle w:val="BodyText"/>
      </w:pPr>
      <w:r>
        <w:t xml:space="preserve">See also: </w:t>
      </w:r>
      <w:hyperlink r:id="rId17" w:history="1">
        <w:r w:rsidRPr="003E73F2">
          <w:rPr>
            <w:rStyle w:val="Hyperlink"/>
          </w:rPr>
          <w:t>NTH_VALUE syntax</w:t>
        </w:r>
      </w:hyperlink>
    </w:p>
    <w:sectPr w:rsidR="003E73F2" w:rsidRPr="0071658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F17" w:rsidRDefault="00BD5F17">
      <w:r>
        <w:separator/>
      </w:r>
    </w:p>
  </w:endnote>
  <w:endnote w:type="continuationSeparator" w:id="0">
    <w:p w:rsidR="00BD5F17" w:rsidRDefault="00BD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CC"/>
    <w:family w:val="swiss"/>
    <w:pitch w:val="variable"/>
    <w:sig w:usb0="00000287" w:usb1="00000000" w:usb2="00000000" w:usb3="00000000" w:csb0="0000009F" w:csb1="00000000"/>
  </w:font>
  <w:font w:name="Helvetica">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7B0610">
            <w:rPr>
              <w:noProof/>
              <w:sz w:val="16"/>
            </w:rPr>
            <w:t>2012</w:t>
          </w:r>
          <w:r>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Pr="002F5D7B">
            <w:fldChar w:fldCharType="begin"/>
          </w:r>
          <w:r w:rsidRPr="002F5D7B">
            <w:instrText xml:space="preserve"> PAGE </w:instrText>
          </w:r>
          <w:r w:rsidRPr="002F5D7B">
            <w:fldChar w:fldCharType="separate"/>
          </w:r>
          <w:r w:rsidR="007B0610">
            <w:rPr>
              <w:noProof/>
            </w:rPr>
            <w:t>6</w:t>
          </w:r>
          <w:r w:rsidRPr="002F5D7B">
            <w:fldChar w:fldCharType="end"/>
          </w:r>
          <w:r w:rsidRPr="002F5D7B">
            <w:t>/</w:t>
          </w:r>
          <w:fldSimple w:instr=" NUMPAGES ">
            <w:r w:rsidR="007B0610">
              <w:rPr>
                <w:noProof/>
              </w:rPr>
              <w:t>7</w:t>
            </w:r>
          </w:fldSimple>
        </w:p>
      </w:tc>
    </w:tr>
  </w:tbl>
  <w:p w:rsidR="00410D49" w:rsidRDefault="00410D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Pr>
              <w:sz w:val="16"/>
            </w:rPr>
            <w:fldChar w:fldCharType="begin"/>
          </w:r>
          <w:r>
            <w:rPr>
              <w:sz w:val="16"/>
            </w:rPr>
            <w:instrText xml:space="preserve"> SAVEDATE  \@ "yyyy"  \* MERGEFORMAT </w:instrText>
          </w:r>
          <w:r>
            <w:rPr>
              <w:sz w:val="16"/>
            </w:rPr>
            <w:fldChar w:fldCharType="separate"/>
          </w:r>
          <w:r w:rsidR="007B0610">
            <w:rPr>
              <w:noProof/>
              <w:sz w:val="16"/>
            </w:rPr>
            <w:t>2012</w:t>
          </w:r>
          <w:r>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Pr="002F5D7B">
            <w:fldChar w:fldCharType="begin"/>
          </w:r>
          <w:r w:rsidRPr="002F5D7B">
            <w:instrText xml:space="preserve"> PAGE </w:instrText>
          </w:r>
          <w:r w:rsidRPr="002F5D7B">
            <w:fldChar w:fldCharType="separate"/>
          </w:r>
          <w:r w:rsidR="007B0610">
            <w:rPr>
              <w:noProof/>
            </w:rPr>
            <w:t>1</w:t>
          </w:r>
          <w:r w:rsidRPr="002F5D7B">
            <w:fldChar w:fldCharType="end"/>
          </w:r>
          <w:r w:rsidRPr="002F5D7B">
            <w:t>/</w:t>
          </w:r>
          <w:fldSimple w:instr=" NUMPAGES ">
            <w:r w:rsidR="007B0610">
              <w:rPr>
                <w:noProof/>
              </w:rPr>
              <w:t>7</w:t>
            </w:r>
          </w:fldSimple>
        </w:p>
      </w:tc>
    </w:tr>
  </w:tbl>
  <w:p w:rsidR="00410D49" w:rsidRPr="0072682A" w:rsidRDefault="00410D49" w:rsidP="007268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F17" w:rsidRDefault="00BD5F17">
      <w:r>
        <w:separator/>
      </w:r>
    </w:p>
  </w:footnote>
  <w:footnote w:type="continuationSeparator" w:id="0">
    <w:p w:rsidR="00BD5F17" w:rsidRDefault="00BD5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B33729">
            <w:rPr>
              <w:b/>
            </w:rPr>
            <w:t>MTN.BI.03 SQL for Analysis</w:t>
          </w:r>
          <w:r>
            <w:rPr>
              <w:b/>
            </w:rPr>
            <w:fldChar w:fldCharType="end"/>
          </w:r>
        </w:p>
      </w:tc>
      <w:tc>
        <w:tcPr>
          <w:tcW w:w="2693" w:type="dxa"/>
          <w:tcBorders>
            <w:bottom w:val="single" w:sz="4" w:space="0" w:color="auto"/>
          </w:tcBorders>
          <w:shd w:val="clear" w:color="auto" w:fill="auto"/>
          <w:vAlign w:val="center"/>
        </w:tcPr>
        <w:p w:rsidR="00932D17" w:rsidRDefault="00F6260A" w:rsidP="00B23CF5">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7B0610">
            <w:rPr>
              <w:noProof/>
              <w:sz w:val="16"/>
              <w:szCs w:val="16"/>
            </w:rPr>
            <w:t>16-Feb-2012 11:48</w:t>
          </w:r>
          <w:r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Pr>
              <w:b/>
            </w:rPr>
            <w:fldChar w:fldCharType="begin"/>
          </w:r>
          <w:r>
            <w:rPr>
              <w:b/>
            </w:rPr>
            <w:instrText xml:space="preserve"> TITLE  \* MERGEFORMAT </w:instrText>
          </w:r>
          <w:r>
            <w:rPr>
              <w:b/>
            </w:rPr>
            <w:fldChar w:fldCharType="separate"/>
          </w:r>
          <w:r w:rsidR="00925A88">
            <w:rPr>
              <w:b/>
            </w:rPr>
            <w:t>MTN.BI.03 SQL for Analysis</w:t>
          </w:r>
          <w:r>
            <w:rPr>
              <w:b/>
            </w:rPr>
            <w:fldChar w:fldCharType="end"/>
          </w:r>
        </w:p>
      </w:tc>
      <w:tc>
        <w:tcPr>
          <w:tcW w:w="2693" w:type="dxa"/>
          <w:tcBorders>
            <w:bottom w:val="single" w:sz="4" w:space="0" w:color="auto"/>
          </w:tcBorders>
          <w:shd w:val="clear" w:color="auto" w:fill="auto"/>
          <w:vAlign w:val="center"/>
        </w:tcPr>
        <w:p w:rsidR="00410D49" w:rsidRDefault="00A34D25" w:rsidP="00A34D25">
          <w:pPr>
            <w:pStyle w:val="Header"/>
            <w:jc w:val="right"/>
            <w:rPr>
              <w:b/>
            </w:rPr>
          </w:pPr>
          <w:r w:rsidRPr="00932D17">
            <w:rPr>
              <w:b/>
            </w:rPr>
            <w:fldChar w:fldCharType="begin"/>
          </w:r>
          <w:r w:rsidRPr="00932D17">
            <w:rPr>
              <w:b/>
            </w:rPr>
            <w:instrText xml:space="preserve"> DOCPROPERTY  </w:instrText>
          </w:r>
          <w:r w:rsidR="00932D17">
            <w:rPr>
              <w:b/>
            </w:rPr>
            <w:instrText>Classification</w:instrText>
          </w:r>
          <w:r w:rsidRPr="00932D17">
            <w:rPr>
              <w:b/>
            </w:rPr>
            <w:instrText xml:space="preserve">  \* MERGEFORMAT </w:instrText>
          </w:r>
          <w:r w:rsidRPr="00932D17">
            <w:rPr>
              <w:b/>
            </w:rPr>
            <w:fldChar w:fldCharType="separate"/>
          </w:r>
          <w:r w:rsidR="00F6260A">
            <w:rPr>
              <w:b/>
            </w:rPr>
            <w:t>Confidential</w:t>
          </w:r>
          <w:r w:rsidRPr="00932D17">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7B0610">
            <w:rPr>
              <w:noProof/>
              <w:sz w:val="16"/>
              <w:szCs w:val="16"/>
            </w:rPr>
            <w:t>16-Feb-2012 11:48</w:t>
          </w:r>
          <w:r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nsid w:val="11DD0809"/>
    <w:multiLevelType w:val="hybridMultilevel"/>
    <w:tmpl w:val="D534E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4E24A1"/>
    <w:multiLevelType w:val="hybridMultilevel"/>
    <w:tmpl w:val="E154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C106EC"/>
    <w:multiLevelType w:val="hybridMultilevel"/>
    <w:tmpl w:val="8D12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3537E2"/>
    <w:multiLevelType w:val="hybridMultilevel"/>
    <w:tmpl w:val="0DFA8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54EE692B"/>
    <w:multiLevelType w:val="hybridMultilevel"/>
    <w:tmpl w:val="C66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EA7630"/>
    <w:multiLevelType w:val="hybridMultilevel"/>
    <w:tmpl w:val="C90ED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FE11F3"/>
    <w:multiLevelType w:val="hybridMultilevel"/>
    <w:tmpl w:val="B65E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B5156"/>
    <w:multiLevelType w:val="hybridMultilevel"/>
    <w:tmpl w:val="5300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abstractNum w:abstractNumId="22">
    <w:nsid w:val="75F210D4"/>
    <w:multiLevelType w:val="hybridMultilevel"/>
    <w:tmpl w:val="6ABAB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8F1B25"/>
    <w:multiLevelType w:val="hybridMultilevel"/>
    <w:tmpl w:val="FF04008E"/>
    <w:lvl w:ilvl="0" w:tplc="A1780DFA">
      <w:start w:val="1"/>
      <w:numFmt w:val="bullet"/>
      <w:lvlText w:val="•"/>
      <w:lvlJc w:val="left"/>
      <w:pPr>
        <w:tabs>
          <w:tab w:val="num" w:pos="720"/>
        </w:tabs>
        <w:ind w:left="720" w:hanging="360"/>
      </w:pPr>
      <w:rPr>
        <w:rFonts w:ascii="Arial" w:hAnsi="Arial" w:hint="default"/>
      </w:rPr>
    </w:lvl>
    <w:lvl w:ilvl="1" w:tplc="989E74DA">
      <w:start w:val="1"/>
      <w:numFmt w:val="bullet"/>
      <w:lvlText w:val="•"/>
      <w:lvlJc w:val="left"/>
      <w:pPr>
        <w:tabs>
          <w:tab w:val="num" w:pos="1440"/>
        </w:tabs>
        <w:ind w:left="1440" w:hanging="360"/>
      </w:pPr>
      <w:rPr>
        <w:rFonts w:ascii="Arial" w:hAnsi="Arial" w:hint="default"/>
      </w:rPr>
    </w:lvl>
    <w:lvl w:ilvl="2" w:tplc="34CCF5EA" w:tentative="1">
      <w:start w:val="1"/>
      <w:numFmt w:val="bullet"/>
      <w:lvlText w:val="•"/>
      <w:lvlJc w:val="left"/>
      <w:pPr>
        <w:tabs>
          <w:tab w:val="num" w:pos="2160"/>
        </w:tabs>
        <w:ind w:left="2160" w:hanging="360"/>
      </w:pPr>
      <w:rPr>
        <w:rFonts w:ascii="Arial" w:hAnsi="Arial" w:hint="default"/>
      </w:rPr>
    </w:lvl>
    <w:lvl w:ilvl="3" w:tplc="C6F06F48" w:tentative="1">
      <w:start w:val="1"/>
      <w:numFmt w:val="bullet"/>
      <w:lvlText w:val="•"/>
      <w:lvlJc w:val="left"/>
      <w:pPr>
        <w:tabs>
          <w:tab w:val="num" w:pos="2880"/>
        </w:tabs>
        <w:ind w:left="2880" w:hanging="360"/>
      </w:pPr>
      <w:rPr>
        <w:rFonts w:ascii="Arial" w:hAnsi="Arial" w:hint="default"/>
      </w:rPr>
    </w:lvl>
    <w:lvl w:ilvl="4" w:tplc="BFDCDD48" w:tentative="1">
      <w:start w:val="1"/>
      <w:numFmt w:val="bullet"/>
      <w:lvlText w:val="•"/>
      <w:lvlJc w:val="left"/>
      <w:pPr>
        <w:tabs>
          <w:tab w:val="num" w:pos="3600"/>
        </w:tabs>
        <w:ind w:left="3600" w:hanging="360"/>
      </w:pPr>
      <w:rPr>
        <w:rFonts w:ascii="Arial" w:hAnsi="Arial" w:hint="default"/>
      </w:rPr>
    </w:lvl>
    <w:lvl w:ilvl="5" w:tplc="B95EECB0" w:tentative="1">
      <w:start w:val="1"/>
      <w:numFmt w:val="bullet"/>
      <w:lvlText w:val="•"/>
      <w:lvlJc w:val="left"/>
      <w:pPr>
        <w:tabs>
          <w:tab w:val="num" w:pos="4320"/>
        </w:tabs>
        <w:ind w:left="4320" w:hanging="360"/>
      </w:pPr>
      <w:rPr>
        <w:rFonts w:ascii="Arial" w:hAnsi="Arial" w:hint="default"/>
      </w:rPr>
    </w:lvl>
    <w:lvl w:ilvl="6" w:tplc="C8088984" w:tentative="1">
      <w:start w:val="1"/>
      <w:numFmt w:val="bullet"/>
      <w:lvlText w:val="•"/>
      <w:lvlJc w:val="left"/>
      <w:pPr>
        <w:tabs>
          <w:tab w:val="num" w:pos="5040"/>
        </w:tabs>
        <w:ind w:left="5040" w:hanging="360"/>
      </w:pPr>
      <w:rPr>
        <w:rFonts w:ascii="Arial" w:hAnsi="Arial" w:hint="default"/>
      </w:rPr>
    </w:lvl>
    <w:lvl w:ilvl="7" w:tplc="284A29F6" w:tentative="1">
      <w:start w:val="1"/>
      <w:numFmt w:val="bullet"/>
      <w:lvlText w:val="•"/>
      <w:lvlJc w:val="left"/>
      <w:pPr>
        <w:tabs>
          <w:tab w:val="num" w:pos="5760"/>
        </w:tabs>
        <w:ind w:left="5760" w:hanging="360"/>
      </w:pPr>
      <w:rPr>
        <w:rFonts w:ascii="Arial" w:hAnsi="Arial" w:hint="default"/>
      </w:rPr>
    </w:lvl>
    <w:lvl w:ilvl="8" w:tplc="4F12E964" w:tentative="1">
      <w:start w:val="1"/>
      <w:numFmt w:val="bullet"/>
      <w:lvlText w:val="•"/>
      <w:lvlJc w:val="left"/>
      <w:pPr>
        <w:tabs>
          <w:tab w:val="num" w:pos="6480"/>
        </w:tabs>
        <w:ind w:left="6480" w:hanging="360"/>
      </w:pPr>
      <w:rPr>
        <w:rFonts w:ascii="Arial" w:hAnsi="Arial" w:hint="default"/>
      </w:rPr>
    </w:lvl>
  </w:abstractNum>
  <w:abstractNum w:abstractNumId="24">
    <w:nsid w:val="78397663"/>
    <w:multiLevelType w:val="hybridMultilevel"/>
    <w:tmpl w:val="F7E2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14"/>
  </w:num>
  <w:num w:numId="4">
    <w:abstractNumId w:val="5"/>
  </w:num>
  <w:num w:numId="5">
    <w:abstractNumId w:val="12"/>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4"/>
  </w:num>
  <w:num w:numId="16">
    <w:abstractNumId w:val="24"/>
  </w:num>
  <w:num w:numId="17">
    <w:abstractNumId w:val="10"/>
  </w:num>
  <w:num w:numId="18">
    <w:abstractNumId w:val="17"/>
  </w:num>
  <w:num w:numId="19">
    <w:abstractNumId w:val="23"/>
  </w:num>
  <w:num w:numId="20">
    <w:abstractNumId w:val="16"/>
  </w:num>
  <w:num w:numId="21">
    <w:abstractNumId w:val="22"/>
  </w:num>
  <w:num w:numId="22">
    <w:abstractNumId w:val="9"/>
  </w:num>
  <w:num w:numId="23">
    <w:abstractNumId w:val="18"/>
  </w:num>
  <w:num w:numId="24">
    <w:abstractNumId w:val="11"/>
  </w:num>
  <w:num w:numId="25">
    <w:abstractNumId w:val="19"/>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2B5"/>
    <w:rsid w:val="00015C7E"/>
    <w:rsid w:val="000211B7"/>
    <w:rsid w:val="000336F8"/>
    <w:rsid w:val="000545B5"/>
    <w:rsid w:val="00065759"/>
    <w:rsid w:val="00081508"/>
    <w:rsid w:val="000A6040"/>
    <w:rsid w:val="000D22DF"/>
    <w:rsid w:val="000D4695"/>
    <w:rsid w:val="000E5733"/>
    <w:rsid w:val="000E676F"/>
    <w:rsid w:val="000E68BD"/>
    <w:rsid w:val="000F2774"/>
    <w:rsid w:val="00114D08"/>
    <w:rsid w:val="00130569"/>
    <w:rsid w:val="00131A1C"/>
    <w:rsid w:val="00131E4A"/>
    <w:rsid w:val="001355C3"/>
    <w:rsid w:val="00171785"/>
    <w:rsid w:val="00173FBC"/>
    <w:rsid w:val="001B6B1E"/>
    <w:rsid w:val="001D47B8"/>
    <w:rsid w:val="001E0FB1"/>
    <w:rsid w:val="002154C4"/>
    <w:rsid w:val="00222DC3"/>
    <w:rsid w:val="00230445"/>
    <w:rsid w:val="00235712"/>
    <w:rsid w:val="00260465"/>
    <w:rsid w:val="0027273F"/>
    <w:rsid w:val="00276374"/>
    <w:rsid w:val="00286611"/>
    <w:rsid w:val="002A713E"/>
    <w:rsid w:val="002D6A03"/>
    <w:rsid w:val="002F5D7B"/>
    <w:rsid w:val="00331A15"/>
    <w:rsid w:val="0033495D"/>
    <w:rsid w:val="003438DB"/>
    <w:rsid w:val="003457CD"/>
    <w:rsid w:val="003609E8"/>
    <w:rsid w:val="00383ABB"/>
    <w:rsid w:val="00386A51"/>
    <w:rsid w:val="0038754C"/>
    <w:rsid w:val="00394781"/>
    <w:rsid w:val="003B0471"/>
    <w:rsid w:val="003C425E"/>
    <w:rsid w:val="003D1F28"/>
    <w:rsid w:val="003E41E7"/>
    <w:rsid w:val="003E73F2"/>
    <w:rsid w:val="003F7F40"/>
    <w:rsid w:val="00400831"/>
    <w:rsid w:val="00410D49"/>
    <w:rsid w:val="00430228"/>
    <w:rsid w:val="00432D54"/>
    <w:rsid w:val="00434841"/>
    <w:rsid w:val="004529CC"/>
    <w:rsid w:val="004A49EF"/>
    <w:rsid w:val="004B34A4"/>
    <w:rsid w:val="004B4D2A"/>
    <w:rsid w:val="004C2F82"/>
    <w:rsid w:val="004C4934"/>
    <w:rsid w:val="004D29BE"/>
    <w:rsid w:val="004E22A3"/>
    <w:rsid w:val="0052662C"/>
    <w:rsid w:val="005400E3"/>
    <w:rsid w:val="00543EEC"/>
    <w:rsid w:val="00557725"/>
    <w:rsid w:val="0057115C"/>
    <w:rsid w:val="005731ED"/>
    <w:rsid w:val="005732B5"/>
    <w:rsid w:val="005840D5"/>
    <w:rsid w:val="005848D0"/>
    <w:rsid w:val="00593E6E"/>
    <w:rsid w:val="005A2132"/>
    <w:rsid w:val="005C0966"/>
    <w:rsid w:val="005C7B18"/>
    <w:rsid w:val="005E56AF"/>
    <w:rsid w:val="0060532A"/>
    <w:rsid w:val="00617320"/>
    <w:rsid w:val="0065035F"/>
    <w:rsid w:val="0068062E"/>
    <w:rsid w:val="00686BAB"/>
    <w:rsid w:val="006A77BC"/>
    <w:rsid w:val="006C5085"/>
    <w:rsid w:val="006D5D58"/>
    <w:rsid w:val="006F305F"/>
    <w:rsid w:val="006F37C1"/>
    <w:rsid w:val="00710F1C"/>
    <w:rsid w:val="007124C3"/>
    <w:rsid w:val="00716588"/>
    <w:rsid w:val="0072682A"/>
    <w:rsid w:val="00750BDF"/>
    <w:rsid w:val="0075737B"/>
    <w:rsid w:val="007739CC"/>
    <w:rsid w:val="0077510E"/>
    <w:rsid w:val="007856F0"/>
    <w:rsid w:val="00790075"/>
    <w:rsid w:val="007A740E"/>
    <w:rsid w:val="007B0610"/>
    <w:rsid w:val="007C27A8"/>
    <w:rsid w:val="007F026A"/>
    <w:rsid w:val="007F67E1"/>
    <w:rsid w:val="00805A69"/>
    <w:rsid w:val="00820129"/>
    <w:rsid w:val="008237F4"/>
    <w:rsid w:val="00827DE8"/>
    <w:rsid w:val="00842C17"/>
    <w:rsid w:val="008449AF"/>
    <w:rsid w:val="008450FB"/>
    <w:rsid w:val="00851356"/>
    <w:rsid w:val="008A16D2"/>
    <w:rsid w:val="008A31BA"/>
    <w:rsid w:val="008B3B7F"/>
    <w:rsid w:val="008D4230"/>
    <w:rsid w:val="008D4768"/>
    <w:rsid w:val="008D7C03"/>
    <w:rsid w:val="008E5E15"/>
    <w:rsid w:val="00906CFE"/>
    <w:rsid w:val="00913963"/>
    <w:rsid w:val="00924520"/>
    <w:rsid w:val="00925A88"/>
    <w:rsid w:val="009302FF"/>
    <w:rsid w:val="00932D17"/>
    <w:rsid w:val="00964F64"/>
    <w:rsid w:val="009C5DF4"/>
    <w:rsid w:val="009E669B"/>
    <w:rsid w:val="00A06E62"/>
    <w:rsid w:val="00A34D25"/>
    <w:rsid w:val="00A37131"/>
    <w:rsid w:val="00A530F0"/>
    <w:rsid w:val="00A575CF"/>
    <w:rsid w:val="00A622A2"/>
    <w:rsid w:val="00A64387"/>
    <w:rsid w:val="00A667E6"/>
    <w:rsid w:val="00A72E58"/>
    <w:rsid w:val="00A83F89"/>
    <w:rsid w:val="00A84D3B"/>
    <w:rsid w:val="00A92018"/>
    <w:rsid w:val="00A9495A"/>
    <w:rsid w:val="00AC5A33"/>
    <w:rsid w:val="00AD5D01"/>
    <w:rsid w:val="00AF72D5"/>
    <w:rsid w:val="00B139F6"/>
    <w:rsid w:val="00B215BA"/>
    <w:rsid w:val="00B23CF5"/>
    <w:rsid w:val="00B2599C"/>
    <w:rsid w:val="00B33729"/>
    <w:rsid w:val="00B43774"/>
    <w:rsid w:val="00B6507C"/>
    <w:rsid w:val="00B76439"/>
    <w:rsid w:val="00B81A83"/>
    <w:rsid w:val="00B839E0"/>
    <w:rsid w:val="00BA5D1D"/>
    <w:rsid w:val="00BB0780"/>
    <w:rsid w:val="00BD5F17"/>
    <w:rsid w:val="00BD66A3"/>
    <w:rsid w:val="00BE1AED"/>
    <w:rsid w:val="00BE4191"/>
    <w:rsid w:val="00BE7F18"/>
    <w:rsid w:val="00C03F50"/>
    <w:rsid w:val="00C04907"/>
    <w:rsid w:val="00C21975"/>
    <w:rsid w:val="00C22030"/>
    <w:rsid w:val="00C3363B"/>
    <w:rsid w:val="00C63011"/>
    <w:rsid w:val="00C70F22"/>
    <w:rsid w:val="00C90F18"/>
    <w:rsid w:val="00C922B5"/>
    <w:rsid w:val="00CA2A71"/>
    <w:rsid w:val="00CB16E7"/>
    <w:rsid w:val="00D454F0"/>
    <w:rsid w:val="00D639FE"/>
    <w:rsid w:val="00D86536"/>
    <w:rsid w:val="00DD2C23"/>
    <w:rsid w:val="00DE4E52"/>
    <w:rsid w:val="00DF33BF"/>
    <w:rsid w:val="00E44576"/>
    <w:rsid w:val="00E74234"/>
    <w:rsid w:val="00E8459E"/>
    <w:rsid w:val="00E903AC"/>
    <w:rsid w:val="00EB3F54"/>
    <w:rsid w:val="00EC462D"/>
    <w:rsid w:val="00EE5CC2"/>
    <w:rsid w:val="00F00698"/>
    <w:rsid w:val="00F06C91"/>
    <w:rsid w:val="00F134EF"/>
    <w:rsid w:val="00F26FE7"/>
    <w:rsid w:val="00F6260A"/>
    <w:rsid w:val="00F9679B"/>
    <w:rsid w:val="00FE114F"/>
    <w:rsid w:val="00FF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List Bullet" w:qFormat="1"/>
    <w:lsdException w:name="List Number" w:qFormat="1"/>
    <w:lsdException w:name="Body Text" w:qFormat="1"/>
    <w:lsdException w:name="Hyperlink" w:uiPriority="99" w:qFormat="1"/>
    <w:lsdException w:name="Emphasis" w:uiPriority="20" w:qFormat="1"/>
    <w:lsdException w:name="Normal (Web)"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rsid w:val="00222DC3"/>
    <w:pPr>
      <w:widowControl w:val="0"/>
      <w:spacing w:line="240" w:lineRule="atLeast"/>
    </w:pPr>
  </w:style>
  <w:style w:type="paragraph" w:styleId="Heading1">
    <w:name w:val="heading 1"/>
    <w:basedOn w:val="Normal"/>
    <w:next w:val="BodyText"/>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uiPriority w:val="20"/>
    <w:qForma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rsid w:val="000E5733"/>
    <w:rPr>
      <w:i/>
      <w:iCs/>
    </w:rPr>
  </w:style>
  <w:style w:type="character" w:styleId="HTMLCode">
    <w:name w:val="HTML Code"/>
    <w:rsid w:val="000E5733"/>
    <w:rPr>
      <w:rFonts w:ascii="Courier New" w:hAnsi="Courier New" w:cs="Courier New"/>
      <w:sz w:val="20"/>
      <w:szCs w:val="20"/>
    </w:rPr>
  </w:style>
  <w:style w:type="character" w:styleId="HTMLDefinition">
    <w:name w:val="HTML Definition"/>
    <w:rsid w:val="000E5733"/>
    <w:rPr>
      <w:i/>
      <w:iCs/>
    </w:rPr>
  </w:style>
  <w:style w:type="character" w:styleId="HTMLKeyboard">
    <w:name w:val="HTML Keyboard"/>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rsid w:val="000E5733"/>
    <w:rPr>
      <w:rFonts w:ascii="Courier New" w:hAnsi="Courier New" w:cs="Courier New"/>
      <w:sz w:val="20"/>
      <w:szCs w:val="20"/>
    </w:rPr>
  </w:style>
  <w:style w:type="character" w:styleId="HTMLVariable">
    <w:name w:val="HTML Variable"/>
    <w:rsid w:val="000E5733"/>
    <w:rPr>
      <w:i/>
      <w:iCs/>
    </w:rPr>
  </w:style>
  <w:style w:type="character" w:styleId="Hyperlink">
    <w:name w:val="Hyperlink"/>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uiPriority w:val="39"/>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2">
    <w:name w:val="Table Grid 2"/>
    <w:basedOn w:val="TableNormal"/>
    <w:rsid w:val="008450FB"/>
    <w:pPr>
      <w:widowControl w:val="0"/>
      <w:spacing w:line="240" w:lineRule="atLeas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apple-converted-space">
    <w:name w:val="apple-converted-space"/>
    <w:basedOn w:val="DefaultParagraphFont"/>
    <w:rsid w:val="007C2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99">
      <w:bodyDiv w:val="1"/>
      <w:marLeft w:val="0"/>
      <w:marRight w:val="0"/>
      <w:marTop w:val="0"/>
      <w:marBottom w:val="0"/>
      <w:divBdr>
        <w:top w:val="none" w:sz="0" w:space="0" w:color="auto"/>
        <w:left w:val="none" w:sz="0" w:space="0" w:color="auto"/>
        <w:bottom w:val="none" w:sz="0" w:space="0" w:color="auto"/>
        <w:right w:val="none" w:sz="0" w:space="0" w:color="auto"/>
      </w:divBdr>
    </w:div>
    <w:div w:id="103311470">
      <w:bodyDiv w:val="1"/>
      <w:marLeft w:val="0"/>
      <w:marRight w:val="0"/>
      <w:marTop w:val="0"/>
      <w:marBottom w:val="0"/>
      <w:divBdr>
        <w:top w:val="none" w:sz="0" w:space="0" w:color="auto"/>
        <w:left w:val="none" w:sz="0" w:space="0" w:color="auto"/>
        <w:bottom w:val="none" w:sz="0" w:space="0" w:color="auto"/>
        <w:right w:val="none" w:sz="0" w:space="0" w:color="auto"/>
      </w:divBdr>
      <w:divsChild>
        <w:div w:id="1022131450">
          <w:marLeft w:val="274"/>
          <w:marRight w:val="0"/>
          <w:marTop w:val="0"/>
          <w:marBottom w:val="0"/>
          <w:divBdr>
            <w:top w:val="none" w:sz="0" w:space="0" w:color="auto"/>
            <w:left w:val="none" w:sz="0" w:space="0" w:color="auto"/>
            <w:bottom w:val="none" w:sz="0" w:space="0" w:color="auto"/>
            <w:right w:val="none" w:sz="0" w:space="0" w:color="auto"/>
          </w:divBdr>
        </w:div>
        <w:div w:id="345837641">
          <w:marLeft w:val="274"/>
          <w:marRight w:val="0"/>
          <w:marTop w:val="0"/>
          <w:marBottom w:val="0"/>
          <w:divBdr>
            <w:top w:val="none" w:sz="0" w:space="0" w:color="auto"/>
            <w:left w:val="none" w:sz="0" w:space="0" w:color="auto"/>
            <w:bottom w:val="none" w:sz="0" w:space="0" w:color="auto"/>
            <w:right w:val="none" w:sz="0" w:space="0" w:color="auto"/>
          </w:divBdr>
        </w:div>
        <w:div w:id="616569924">
          <w:marLeft w:val="274"/>
          <w:marRight w:val="0"/>
          <w:marTop w:val="0"/>
          <w:marBottom w:val="0"/>
          <w:divBdr>
            <w:top w:val="none" w:sz="0" w:space="0" w:color="auto"/>
            <w:left w:val="none" w:sz="0" w:space="0" w:color="auto"/>
            <w:bottom w:val="none" w:sz="0" w:space="0" w:color="auto"/>
            <w:right w:val="none" w:sz="0" w:space="0" w:color="auto"/>
          </w:divBdr>
        </w:div>
        <w:div w:id="1677924126">
          <w:marLeft w:val="274"/>
          <w:marRight w:val="0"/>
          <w:marTop w:val="0"/>
          <w:marBottom w:val="0"/>
          <w:divBdr>
            <w:top w:val="none" w:sz="0" w:space="0" w:color="auto"/>
            <w:left w:val="none" w:sz="0" w:space="0" w:color="auto"/>
            <w:bottom w:val="none" w:sz="0" w:space="0" w:color="auto"/>
            <w:right w:val="none" w:sz="0" w:space="0" w:color="auto"/>
          </w:divBdr>
        </w:div>
        <w:div w:id="323123883">
          <w:marLeft w:val="274"/>
          <w:marRight w:val="0"/>
          <w:marTop w:val="0"/>
          <w:marBottom w:val="0"/>
          <w:divBdr>
            <w:top w:val="none" w:sz="0" w:space="0" w:color="auto"/>
            <w:left w:val="none" w:sz="0" w:space="0" w:color="auto"/>
            <w:bottom w:val="none" w:sz="0" w:space="0" w:color="auto"/>
            <w:right w:val="none" w:sz="0" w:space="0" w:color="auto"/>
          </w:divBdr>
        </w:div>
        <w:div w:id="735397714">
          <w:marLeft w:val="274"/>
          <w:marRight w:val="0"/>
          <w:marTop w:val="0"/>
          <w:marBottom w:val="0"/>
          <w:divBdr>
            <w:top w:val="none" w:sz="0" w:space="0" w:color="auto"/>
            <w:left w:val="none" w:sz="0" w:space="0" w:color="auto"/>
            <w:bottom w:val="none" w:sz="0" w:space="0" w:color="auto"/>
            <w:right w:val="none" w:sz="0" w:space="0" w:color="auto"/>
          </w:divBdr>
        </w:div>
        <w:div w:id="1503624173">
          <w:marLeft w:val="274"/>
          <w:marRight w:val="0"/>
          <w:marTop w:val="0"/>
          <w:marBottom w:val="0"/>
          <w:divBdr>
            <w:top w:val="none" w:sz="0" w:space="0" w:color="auto"/>
            <w:left w:val="none" w:sz="0" w:space="0" w:color="auto"/>
            <w:bottom w:val="none" w:sz="0" w:space="0" w:color="auto"/>
            <w:right w:val="none" w:sz="0" w:space="0" w:color="auto"/>
          </w:divBdr>
        </w:div>
        <w:div w:id="1658458584">
          <w:marLeft w:val="274"/>
          <w:marRight w:val="0"/>
          <w:marTop w:val="0"/>
          <w:marBottom w:val="0"/>
          <w:divBdr>
            <w:top w:val="none" w:sz="0" w:space="0" w:color="auto"/>
            <w:left w:val="none" w:sz="0" w:space="0" w:color="auto"/>
            <w:bottom w:val="none" w:sz="0" w:space="0" w:color="auto"/>
            <w:right w:val="none" w:sz="0" w:space="0" w:color="auto"/>
          </w:divBdr>
        </w:div>
      </w:divsChild>
    </w:div>
    <w:div w:id="140119396">
      <w:bodyDiv w:val="1"/>
      <w:marLeft w:val="0"/>
      <w:marRight w:val="0"/>
      <w:marTop w:val="0"/>
      <w:marBottom w:val="0"/>
      <w:divBdr>
        <w:top w:val="none" w:sz="0" w:space="0" w:color="auto"/>
        <w:left w:val="none" w:sz="0" w:space="0" w:color="auto"/>
        <w:bottom w:val="none" w:sz="0" w:space="0" w:color="auto"/>
        <w:right w:val="none" w:sz="0" w:space="0" w:color="auto"/>
      </w:divBdr>
    </w:div>
    <w:div w:id="224265704">
      <w:bodyDiv w:val="1"/>
      <w:marLeft w:val="0"/>
      <w:marRight w:val="0"/>
      <w:marTop w:val="0"/>
      <w:marBottom w:val="0"/>
      <w:divBdr>
        <w:top w:val="none" w:sz="0" w:space="0" w:color="auto"/>
        <w:left w:val="none" w:sz="0" w:space="0" w:color="auto"/>
        <w:bottom w:val="none" w:sz="0" w:space="0" w:color="auto"/>
        <w:right w:val="none" w:sz="0" w:space="0" w:color="auto"/>
      </w:divBdr>
    </w:div>
    <w:div w:id="235556609">
      <w:bodyDiv w:val="1"/>
      <w:marLeft w:val="0"/>
      <w:marRight w:val="0"/>
      <w:marTop w:val="0"/>
      <w:marBottom w:val="0"/>
      <w:divBdr>
        <w:top w:val="none" w:sz="0" w:space="0" w:color="auto"/>
        <w:left w:val="none" w:sz="0" w:space="0" w:color="auto"/>
        <w:bottom w:val="none" w:sz="0" w:space="0" w:color="auto"/>
        <w:right w:val="none" w:sz="0" w:space="0" w:color="auto"/>
      </w:divBdr>
      <w:divsChild>
        <w:div w:id="1879974584">
          <w:marLeft w:val="0"/>
          <w:marRight w:val="0"/>
          <w:marTop w:val="0"/>
          <w:marBottom w:val="0"/>
          <w:divBdr>
            <w:top w:val="none" w:sz="0" w:space="0" w:color="auto"/>
            <w:left w:val="none" w:sz="0" w:space="0" w:color="auto"/>
            <w:bottom w:val="none" w:sz="0" w:space="0" w:color="auto"/>
            <w:right w:val="none" w:sz="0" w:space="0" w:color="auto"/>
          </w:divBdr>
        </w:div>
      </w:divsChild>
    </w:div>
    <w:div w:id="258607486">
      <w:bodyDiv w:val="1"/>
      <w:marLeft w:val="0"/>
      <w:marRight w:val="0"/>
      <w:marTop w:val="0"/>
      <w:marBottom w:val="0"/>
      <w:divBdr>
        <w:top w:val="none" w:sz="0" w:space="0" w:color="auto"/>
        <w:left w:val="none" w:sz="0" w:space="0" w:color="auto"/>
        <w:bottom w:val="none" w:sz="0" w:space="0" w:color="auto"/>
        <w:right w:val="none" w:sz="0" w:space="0" w:color="auto"/>
      </w:divBdr>
    </w:div>
    <w:div w:id="405228156">
      <w:bodyDiv w:val="1"/>
      <w:marLeft w:val="0"/>
      <w:marRight w:val="0"/>
      <w:marTop w:val="0"/>
      <w:marBottom w:val="0"/>
      <w:divBdr>
        <w:top w:val="none" w:sz="0" w:space="0" w:color="auto"/>
        <w:left w:val="none" w:sz="0" w:space="0" w:color="auto"/>
        <w:bottom w:val="none" w:sz="0" w:space="0" w:color="auto"/>
        <w:right w:val="none" w:sz="0" w:space="0" w:color="auto"/>
      </w:divBdr>
    </w:div>
    <w:div w:id="529102755">
      <w:bodyDiv w:val="1"/>
      <w:marLeft w:val="0"/>
      <w:marRight w:val="0"/>
      <w:marTop w:val="0"/>
      <w:marBottom w:val="0"/>
      <w:divBdr>
        <w:top w:val="none" w:sz="0" w:space="0" w:color="auto"/>
        <w:left w:val="none" w:sz="0" w:space="0" w:color="auto"/>
        <w:bottom w:val="none" w:sz="0" w:space="0" w:color="auto"/>
        <w:right w:val="none" w:sz="0" w:space="0" w:color="auto"/>
      </w:divBdr>
    </w:div>
    <w:div w:id="603004553">
      <w:bodyDiv w:val="1"/>
      <w:marLeft w:val="0"/>
      <w:marRight w:val="0"/>
      <w:marTop w:val="0"/>
      <w:marBottom w:val="0"/>
      <w:divBdr>
        <w:top w:val="none" w:sz="0" w:space="0" w:color="auto"/>
        <w:left w:val="none" w:sz="0" w:space="0" w:color="auto"/>
        <w:bottom w:val="none" w:sz="0" w:space="0" w:color="auto"/>
        <w:right w:val="none" w:sz="0" w:space="0" w:color="auto"/>
      </w:divBdr>
    </w:div>
    <w:div w:id="627321517">
      <w:bodyDiv w:val="1"/>
      <w:marLeft w:val="0"/>
      <w:marRight w:val="0"/>
      <w:marTop w:val="0"/>
      <w:marBottom w:val="0"/>
      <w:divBdr>
        <w:top w:val="none" w:sz="0" w:space="0" w:color="auto"/>
        <w:left w:val="none" w:sz="0" w:space="0" w:color="auto"/>
        <w:bottom w:val="none" w:sz="0" w:space="0" w:color="auto"/>
        <w:right w:val="none" w:sz="0" w:space="0" w:color="auto"/>
      </w:divBdr>
    </w:div>
    <w:div w:id="690106521">
      <w:bodyDiv w:val="1"/>
      <w:marLeft w:val="0"/>
      <w:marRight w:val="0"/>
      <w:marTop w:val="0"/>
      <w:marBottom w:val="0"/>
      <w:divBdr>
        <w:top w:val="none" w:sz="0" w:space="0" w:color="auto"/>
        <w:left w:val="none" w:sz="0" w:space="0" w:color="auto"/>
        <w:bottom w:val="none" w:sz="0" w:space="0" w:color="auto"/>
        <w:right w:val="none" w:sz="0" w:space="0" w:color="auto"/>
      </w:divBdr>
    </w:div>
    <w:div w:id="795416999">
      <w:bodyDiv w:val="1"/>
      <w:marLeft w:val="0"/>
      <w:marRight w:val="0"/>
      <w:marTop w:val="0"/>
      <w:marBottom w:val="0"/>
      <w:divBdr>
        <w:top w:val="none" w:sz="0" w:space="0" w:color="auto"/>
        <w:left w:val="none" w:sz="0" w:space="0" w:color="auto"/>
        <w:bottom w:val="none" w:sz="0" w:space="0" w:color="auto"/>
        <w:right w:val="none" w:sz="0" w:space="0" w:color="auto"/>
      </w:divBdr>
    </w:div>
    <w:div w:id="898901559">
      <w:bodyDiv w:val="1"/>
      <w:marLeft w:val="0"/>
      <w:marRight w:val="0"/>
      <w:marTop w:val="0"/>
      <w:marBottom w:val="0"/>
      <w:divBdr>
        <w:top w:val="none" w:sz="0" w:space="0" w:color="auto"/>
        <w:left w:val="none" w:sz="0" w:space="0" w:color="auto"/>
        <w:bottom w:val="none" w:sz="0" w:space="0" w:color="auto"/>
        <w:right w:val="none" w:sz="0" w:space="0" w:color="auto"/>
      </w:divBdr>
      <w:divsChild>
        <w:div w:id="1735010408">
          <w:marLeft w:val="446"/>
          <w:marRight w:val="0"/>
          <w:marTop w:val="77"/>
          <w:marBottom w:val="0"/>
          <w:divBdr>
            <w:top w:val="none" w:sz="0" w:space="0" w:color="auto"/>
            <w:left w:val="none" w:sz="0" w:space="0" w:color="auto"/>
            <w:bottom w:val="none" w:sz="0" w:space="0" w:color="auto"/>
            <w:right w:val="none" w:sz="0" w:space="0" w:color="auto"/>
          </w:divBdr>
        </w:div>
        <w:div w:id="1724327889">
          <w:marLeft w:val="446"/>
          <w:marRight w:val="0"/>
          <w:marTop w:val="77"/>
          <w:marBottom w:val="0"/>
          <w:divBdr>
            <w:top w:val="none" w:sz="0" w:space="0" w:color="auto"/>
            <w:left w:val="none" w:sz="0" w:space="0" w:color="auto"/>
            <w:bottom w:val="none" w:sz="0" w:space="0" w:color="auto"/>
            <w:right w:val="none" w:sz="0" w:space="0" w:color="auto"/>
          </w:divBdr>
        </w:div>
        <w:div w:id="1221597132">
          <w:marLeft w:val="1253"/>
          <w:marRight w:val="0"/>
          <w:marTop w:val="77"/>
          <w:marBottom w:val="0"/>
          <w:divBdr>
            <w:top w:val="none" w:sz="0" w:space="0" w:color="auto"/>
            <w:left w:val="none" w:sz="0" w:space="0" w:color="auto"/>
            <w:bottom w:val="none" w:sz="0" w:space="0" w:color="auto"/>
            <w:right w:val="none" w:sz="0" w:space="0" w:color="auto"/>
          </w:divBdr>
        </w:div>
        <w:div w:id="75323914">
          <w:marLeft w:val="1253"/>
          <w:marRight w:val="0"/>
          <w:marTop w:val="77"/>
          <w:marBottom w:val="0"/>
          <w:divBdr>
            <w:top w:val="none" w:sz="0" w:space="0" w:color="auto"/>
            <w:left w:val="none" w:sz="0" w:space="0" w:color="auto"/>
            <w:bottom w:val="none" w:sz="0" w:space="0" w:color="auto"/>
            <w:right w:val="none" w:sz="0" w:space="0" w:color="auto"/>
          </w:divBdr>
        </w:div>
        <w:div w:id="358317957">
          <w:marLeft w:val="446"/>
          <w:marRight w:val="0"/>
          <w:marTop w:val="77"/>
          <w:marBottom w:val="0"/>
          <w:divBdr>
            <w:top w:val="none" w:sz="0" w:space="0" w:color="auto"/>
            <w:left w:val="none" w:sz="0" w:space="0" w:color="auto"/>
            <w:bottom w:val="none" w:sz="0" w:space="0" w:color="auto"/>
            <w:right w:val="none" w:sz="0" w:space="0" w:color="auto"/>
          </w:divBdr>
        </w:div>
      </w:divsChild>
    </w:div>
    <w:div w:id="899443391">
      <w:bodyDiv w:val="1"/>
      <w:marLeft w:val="0"/>
      <w:marRight w:val="0"/>
      <w:marTop w:val="0"/>
      <w:marBottom w:val="0"/>
      <w:divBdr>
        <w:top w:val="none" w:sz="0" w:space="0" w:color="auto"/>
        <w:left w:val="none" w:sz="0" w:space="0" w:color="auto"/>
        <w:bottom w:val="none" w:sz="0" w:space="0" w:color="auto"/>
        <w:right w:val="none" w:sz="0" w:space="0" w:color="auto"/>
      </w:divBdr>
    </w:div>
    <w:div w:id="962074322">
      <w:bodyDiv w:val="1"/>
      <w:marLeft w:val="0"/>
      <w:marRight w:val="0"/>
      <w:marTop w:val="0"/>
      <w:marBottom w:val="0"/>
      <w:divBdr>
        <w:top w:val="none" w:sz="0" w:space="0" w:color="auto"/>
        <w:left w:val="none" w:sz="0" w:space="0" w:color="auto"/>
        <w:bottom w:val="none" w:sz="0" w:space="0" w:color="auto"/>
        <w:right w:val="none" w:sz="0" w:space="0" w:color="auto"/>
      </w:divBdr>
    </w:div>
    <w:div w:id="977495797">
      <w:bodyDiv w:val="1"/>
      <w:marLeft w:val="0"/>
      <w:marRight w:val="0"/>
      <w:marTop w:val="0"/>
      <w:marBottom w:val="0"/>
      <w:divBdr>
        <w:top w:val="none" w:sz="0" w:space="0" w:color="auto"/>
        <w:left w:val="none" w:sz="0" w:space="0" w:color="auto"/>
        <w:bottom w:val="none" w:sz="0" w:space="0" w:color="auto"/>
        <w:right w:val="none" w:sz="0" w:space="0" w:color="auto"/>
      </w:divBdr>
    </w:div>
    <w:div w:id="1002464206">
      <w:bodyDiv w:val="1"/>
      <w:marLeft w:val="0"/>
      <w:marRight w:val="0"/>
      <w:marTop w:val="0"/>
      <w:marBottom w:val="0"/>
      <w:divBdr>
        <w:top w:val="none" w:sz="0" w:space="0" w:color="auto"/>
        <w:left w:val="none" w:sz="0" w:space="0" w:color="auto"/>
        <w:bottom w:val="none" w:sz="0" w:space="0" w:color="auto"/>
        <w:right w:val="none" w:sz="0" w:space="0" w:color="auto"/>
      </w:divBdr>
    </w:div>
    <w:div w:id="1027291811">
      <w:bodyDiv w:val="1"/>
      <w:marLeft w:val="0"/>
      <w:marRight w:val="0"/>
      <w:marTop w:val="0"/>
      <w:marBottom w:val="0"/>
      <w:divBdr>
        <w:top w:val="none" w:sz="0" w:space="0" w:color="auto"/>
        <w:left w:val="none" w:sz="0" w:space="0" w:color="auto"/>
        <w:bottom w:val="none" w:sz="0" w:space="0" w:color="auto"/>
        <w:right w:val="none" w:sz="0" w:space="0" w:color="auto"/>
      </w:divBdr>
    </w:div>
    <w:div w:id="1123186651">
      <w:bodyDiv w:val="1"/>
      <w:marLeft w:val="0"/>
      <w:marRight w:val="0"/>
      <w:marTop w:val="0"/>
      <w:marBottom w:val="0"/>
      <w:divBdr>
        <w:top w:val="none" w:sz="0" w:space="0" w:color="auto"/>
        <w:left w:val="none" w:sz="0" w:space="0" w:color="auto"/>
        <w:bottom w:val="none" w:sz="0" w:space="0" w:color="auto"/>
        <w:right w:val="none" w:sz="0" w:space="0" w:color="auto"/>
      </w:divBdr>
    </w:div>
    <w:div w:id="1130632789">
      <w:bodyDiv w:val="1"/>
      <w:marLeft w:val="0"/>
      <w:marRight w:val="0"/>
      <w:marTop w:val="0"/>
      <w:marBottom w:val="0"/>
      <w:divBdr>
        <w:top w:val="none" w:sz="0" w:space="0" w:color="auto"/>
        <w:left w:val="none" w:sz="0" w:space="0" w:color="auto"/>
        <w:bottom w:val="none" w:sz="0" w:space="0" w:color="auto"/>
        <w:right w:val="none" w:sz="0" w:space="0" w:color="auto"/>
      </w:divBdr>
    </w:div>
    <w:div w:id="1153597182">
      <w:bodyDiv w:val="1"/>
      <w:marLeft w:val="0"/>
      <w:marRight w:val="0"/>
      <w:marTop w:val="0"/>
      <w:marBottom w:val="0"/>
      <w:divBdr>
        <w:top w:val="none" w:sz="0" w:space="0" w:color="auto"/>
        <w:left w:val="none" w:sz="0" w:space="0" w:color="auto"/>
        <w:bottom w:val="none" w:sz="0" w:space="0" w:color="auto"/>
        <w:right w:val="none" w:sz="0" w:space="0" w:color="auto"/>
      </w:divBdr>
    </w:div>
    <w:div w:id="1168520404">
      <w:bodyDiv w:val="1"/>
      <w:marLeft w:val="0"/>
      <w:marRight w:val="0"/>
      <w:marTop w:val="0"/>
      <w:marBottom w:val="0"/>
      <w:divBdr>
        <w:top w:val="none" w:sz="0" w:space="0" w:color="auto"/>
        <w:left w:val="none" w:sz="0" w:space="0" w:color="auto"/>
        <w:bottom w:val="none" w:sz="0" w:space="0" w:color="auto"/>
        <w:right w:val="none" w:sz="0" w:space="0" w:color="auto"/>
      </w:divBdr>
    </w:div>
    <w:div w:id="1169905090">
      <w:bodyDiv w:val="1"/>
      <w:marLeft w:val="0"/>
      <w:marRight w:val="0"/>
      <w:marTop w:val="0"/>
      <w:marBottom w:val="0"/>
      <w:divBdr>
        <w:top w:val="none" w:sz="0" w:space="0" w:color="auto"/>
        <w:left w:val="none" w:sz="0" w:space="0" w:color="auto"/>
        <w:bottom w:val="none" w:sz="0" w:space="0" w:color="auto"/>
        <w:right w:val="none" w:sz="0" w:space="0" w:color="auto"/>
      </w:divBdr>
      <w:divsChild>
        <w:div w:id="236549931">
          <w:marLeft w:val="0"/>
          <w:marRight w:val="0"/>
          <w:marTop w:val="0"/>
          <w:marBottom w:val="0"/>
          <w:divBdr>
            <w:top w:val="none" w:sz="0" w:space="0" w:color="auto"/>
            <w:left w:val="none" w:sz="0" w:space="0" w:color="auto"/>
            <w:bottom w:val="none" w:sz="0" w:space="0" w:color="auto"/>
            <w:right w:val="none" w:sz="0" w:space="0" w:color="auto"/>
          </w:divBdr>
        </w:div>
      </w:divsChild>
    </w:div>
    <w:div w:id="1201094229">
      <w:bodyDiv w:val="1"/>
      <w:marLeft w:val="0"/>
      <w:marRight w:val="0"/>
      <w:marTop w:val="0"/>
      <w:marBottom w:val="0"/>
      <w:divBdr>
        <w:top w:val="none" w:sz="0" w:space="0" w:color="auto"/>
        <w:left w:val="none" w:sz="0" w:space="0" w:color="auto"/>
        <w:bottom w:val="none" w:sz="0" w:space="0" w:color="auto"/>
        <w:right w:val="none" w:sz="0" w:space="0" w:color="auto"/>
      </w:divBdr>
    </w:div>
    <w:div w:id="1375235253">
      <w:bodyDiv w:val="1"/>
      <w:marLeft w:val="0"/>
      <w:marRight w:val="0"/>
      <w:marTop w:val="0"/>
      <w:marBottom w:val="0"/>
      <w:divBdr>
        <w:top w:val="none" w:sz="0" w:space="0" w:color="auto"/>
        <w:left w:val="none" w:sz="0" w:space="0" w:color="auto"/>
        <w:bottom w:val="none" w:sz="0" w:space="0" w:color="auto"/>
        <w:right w:val="none" w:sz="0" w:space="0" w:color="auto"/>
      </w:divBdr>
    </w:div>
    <w:div w:id="1619408409">
      <w:bodyDiv w:val="1"/>
      <w:marLeft w:val="0"/>
      <w:marRight w:val="0"/>
      <w:marTop w:val="0"/>
      <w:marBottom w:val="0"/>
      <w:divBdr>
        <w:top w:val="none" w:sz="0" w:space="0" w:color="auto"/>
        <w:left w:val="none" w:sz="0" w:space="0" w:color="auto"/>
        <w:bottom w:val="none" w:sz="0" w:space="0" w:color="auto"/>
        <w:right w:val="none" w:sz="0" w:space="0" w:color="auto"/>
      </w:divBdr>
    </w:div>
    <w:div w:id="1706444417">
      <w:bodyDiv w:val="1"/>
      <w:marLeft w:val="0"/>
      <w:marRight w:val="0"/>
      <w:marTop w:val="0"/>
      <w:marBottom w:val="0"/>
      <w:divBdr>
        <w:top w:val="none" w:sz="0" w:space="0" w:color="auto"/>
        <w:left w:val="none" w:sz="0" w:space="0" w:color="auto"/>
        <w:bottom w:val="none" w:sz="0" w:space="0" w:color="auto"/>
        <w:right w:val="none" w:sz="0" w:space="0" w:color="auto"/>
      </w:divBdr>
    </w:div>
    <w:div w:id="1716150449">
      <w:bodyDiv w:val="1"/>
      <w:marLeft w:val="0"/>
      <w:marRight w:val="0"/>
      <w:marTop w:val="0"/>
      <w:marBottom w:val="0"/>
      <w:divBdr>
        <w:top w:val="none" w:sz="0" w:space="0" w:color="auto"/>
        <w:left w:val="none" w:sz="0" w:space="0" w:color="auto"/>
        <w:bottom w:val="none" w:sz="0" w:space="0" w:color="auto"/>
        <w:right w:val="none" w:sz="0" w:space="0" w:color="auto"/>
      </w:divBdr>
    </w:div>
    <w:div w:id="1737436148">
      <w:bodyDiv w:val="1"/>
      <w:marLeft w:val="0"/>
      <w:marRight w:val="0"/>
      <w:marTop w:val="0"/>
      <w:marBottom w:val="0"/>
      <w:divBdr>
        <w:top w:val="none" w:sz="0" w:space="0" w:color="auto"/>
        <w:left w:val="none" w:sz="0" w:space="0" w:color="auto"/>
        <w:bottom w:val="none" w:sz="0" w:space="0" w:color="auto"/>
        <w:right w:val="none" w:sz="0" w:space="0" w:color="auto"/>
      </w:divBdr>
    </w:div>
    <w:div w:id="1787968072">
      <w:bodyDiv w:val="1"/>
      <w:marLeft w:val="0"/>
      <w:marRight w:val="0"/>
      <w:marTop w:val="0"/>
      <w:marBottom w:val="0"/>
      <w:divBdr>
        <w:top w:val="none" w:sz="0" w:space="0" w:color="auto"/>
        <w:left w:val="none" w:sz="0" w:space="0" w:color="auto"/>
        <w:bottom w:val="none" w:sz="0" w:space="0" w:color="auto"/>
        <w:right w:val="none" w:sz="0" w:space="0" w:color="auto"/>
      </w:divBdr>
    </w:div>
    <w:div w:id="1821843679">
      <w:bodyDiv w:val="1"/>
      <w:marLeft w:val="0"/>
      <w:marRight w:val="0"/>
      <w:marTop w:val="0"/>
      <w:marBottom w:val="0"/>
      <w:divBdr>
        <w:top w:val="none" w:sz="0" w:space="0" w:color="auto"/>
        <w:left w:val="none" w:sz="0" w:space="0" w:color="auto"/>
        <w:bottom w:val="none" w:sz="0" w:space="0" w:color="auto"/>
        <w:right w:val="none" w:sz="0" w:space="0" w:color="auto"/>
      </w:divBdr>
    </w:div>
    <w:div w:id="1888905600">
      <w:bodyDiv w:val="1"/>
      <w:marLeft w:val="0"/>
      <w:marRight w:val="0"/>
      <w:marTop w:val="0"/>
      <w:marBottom w:val="0"/>
      <w:divBdr>
        <w:top w:val="none" w:sz="0" w:space="0" w:color="auto"/>
        <w:left w:val="none" w:sz="0" w:space="0" w:color="auto"/>
        <w:bottom w:val="none" w:sz="0" w:space="0" w:color="auto"/>
        <w:right w:val="none" w:sz="0" w:space="0" w:color="auto"/>
      </w:divBdr>
    </w:div>
    <w:div w:id="1900357565">
      <w:bodyDiv w:val="1"/>
      <w:marLeft w:val="0"/>
      <w:marRight w:val="0"/>
      <w:marTop w:val="0"/>
      <w:marBottom w:val="0"/>
      <w:divBdr>
        <w:top w:val="none" w:sz="0" w:space="0" w:color="auto"/>
        <w:left w:val="none" w:sz="0" w:space="0" w:color="auto"/>
        <w:bottom w:val="none" w:sz="0" w:space="0" w:color="auto"/>
        <w:right w:val="none" w:sz="0" w:space="0" w:color="auto"/>
      </w:divBdr>
    </w:div>
    <w:div w:id="1971091189">
      <w:bodyDiv w:val="1"/>
      <w:marLeft w:val="0"/>
      <w:marRight w:val="0"/>
      <w:marTop w:val="0"/>
      <w:marBottom w:val="0"/>
      <w:divBdr>
        <w:top w:val="none" w:sz="0" w:space="0" w:color="auto"/>
        <w:left w:val="none" w:sz="0" w:space="0" w:color="auto"/>
        <w:bottom w:val="none" w:sz="0" w:space="0" w:color="auto"/>
        <w:right w:val="none" w:sz="0" w:space="0" w:color="auto"/>
      </w:divBdr>
    </w:div>
    <w:div w:id="2059553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hyperlink" Target="http://docs.oracle.com/cd/E14072_01/server.112/e10592/functions112.htm" TargetMode="External"/><Relationship Id="rId2" Type="http://schemas.openxmlformats.org/officeDocument/2006/relationships/styles" Target="styles.xml"/><Relationship Id="rId16" Type="http://schemas.openxmlformats.org/officeDocument/2006/relationships/hyperlink" Target="http://www.oracle-developer.net/display.php?id=515"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docs.oracle.com/cd/B28359_01/server.111/b28286/functions001.htm"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1</Pages>
  <Words>2117</Words>
  <Characters>12070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MTN.BI.03 SQL for Analysis</vt:lpstr>
    </vt:vector>
  </TitlesOfParts>
  <Company>EPAM Systems, RD Dep.</Company>
  <LinksUpToDate>false</LinksUpToDate>
  <CharactersWithSpaces>14159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MTN.BI.03 SQL for Analysis</dc:title>
  <dc:subject>SQL for Analysis</dc:subject>
  <dc:creator>Aliaksei Belablotski &lt;Aliaksei_Belablotski@epam.com&gt;</dc:creator>
  <cp:lastModifiedBy>Aliaksei Belablotski</cp:lastModifiedBy>
  <cp:revision>42</cp:revision>
  <cp:lastPrinted>2005-01-28T11:27:00Z</cp:lastPrinted>
  <dcterms:created xsi:type="dcterms:W3CDTF">2012-02-12T13:46:00Z</dcterms:created>
  <dcterms:modified xsi:type="dcterms:W3CDTF">2012-02-19T16:50:00Z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