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8151D1" w14:textId="77777777" w:rsidR="00874D63" w:rsidRDefault="00000000">
      <w:pPr>
        <w:spacing w:after="40"/>
        <w:jc w:val="center"/>
      </w:pPr>
      <w:r>
        <w:rPr>
          <w:rFonts w:ascii="Aptos Display" w:hAnsi="Aptos Display"/>
          <w:b/>
          <w:color w:val="17365D"/>
          <w:sz w:val="40"/>
        </w:rPr>
        <w:t>CA1 Scenario 24: Harbour Equipment and Berth Service</w:t>
      </w:r>
    </w:p>
    <w:p w14:paraId="3B2C91DF" w14:textId="77777777" w:rsidR="00874D63" w:rsidRDefault="00000000">
      <w:pPr>
        <w:spacing w:after="140"/>
        <w:jc w:val="center"/>
      </w:pPr>
      <w:r>
        <w:rPr>
          <w:b/>
          <w:color w:val="008A84"/>
        </w:rPr>
        <w:t>Scenario CA1-24-HEBS  |  Kerry Harbour Services Cooperative</w:t>
      </w:r>
    </w:p>
    <w:tbl>
      <w:tblPr>
        <w:tblW w:w="0" w:type="auto"/>
        <w:tblLook w:val="04A0" w:firstRow="1" w:lastRow="0" w:firstColumn="1" w:lastColumn="0" w:noHBand="0" w:noVBand="1"/>
      </w:tblPr>
      <w:tblGrid>
        <w:gridCol w:w="9866"/>
      </w:tblGrid>
      <w:tr w:rsidR="00874D63" w14:paraId="658F24D2" w14:textId="77777777">
        <w:tc>
          <w:tcPr>
            <w:tcW w:w="9866" w:type="dxa"/>
            <w:shd w:val="clear" w:color="auto" w:fill="EAF2F8"/>
            <w:tcMar>
              <w:top w:w="150" w:type="dxa"/>
              <w:left w:w="150" w:type="dxa"/>
              <w:bottom w:w="150" w:type="dxa"/>
              <w:right w:w="150" w:type="dxa"/>
            </w:tcMar>
          </w:tcPr>
          <w:p w14:paraId="37E4F4C6" w14:textId="77777777" w:rsidR="00874D63" w:rsidRDefault="00000000">
            <w:r>
              <w:rPr>
                <w:b/>
                <w:color w:val="17365D"/>
              </w:rPr>
              <w:t xml:space="preserve">How to use this scenario  </w:t>
            </w:r>
            <w:r>
              <w:t>This document provides the case evidence for your assigned CA1 analysis. Complete the work and submission described in the main CA1 specification. Where evidence is incomplete or inconsistent, identify the uncertainty rather than inventing a confirmed policy.</w:t>
            </w:r>
          </w:p>
        </w:tc>
      </w:tr>
    </w:tbl>
    <w:p w14:paraId="3F8484C6" w14:textId="77777777" w:rsidR="00874D63" w:rsidRDefault="00000000">
      <w:pPr>
        <w:pStyle w:val="Heading2"/>
      </w:pPr>
      <w:r>
        <w:t>Organisation and current service</w:t>
      </w:r>
    </w:p>
    <w:p w14:paraId="59E67CC4" w14:textId="77777777" w:rsidR="00874D63" w:rsidRDefault="00000000">
      <w:r>
        <w:t>Kerry Harbour Services Cooperative coordinates short-term berth use and shared harbour equipment for fishing, leisure and community vessels. Equipment includes mobile fenders, shore-power leads, pumps, lifting accessories and safety barriers.</w:t>
      </w:r>
    </w:p>
    <w:p w14:paraId="7A4D4710" w14:textId="77777777" w:rsidR="00874D63" w:rsidRDefault="00000000">
      <w:r>
        <w:t>Berth requests, vessel details, equipment reservations, inspections and harbour notices are managed through separate logs and messages. Weather, vessel changes and operational restrictions can alter plans quickly.</w:t>
      </w:r>
    </w:p>
    <w:p w14:paraId="01AC252E" w14:textId="77777777" w:rsidR="00874D63" w:rsidRDefault="00000000">
      <w:pPr>
        <w:pStyle w:val="Heading2"/>
      </w:pPr>
      <w:r>
        <w:t>Vessels, berth requests and suitability</w:t>
      </w:r>
    </w:p>
    <w:p w14:paraId="441B0CA2" w14:textId="77777777" w:rsidR="00874D63" w:rsidRDefault="00000000">
      <w:r>
        <w:t>A request includes vessel, dimensions, arrival and departure window, purpose, contact and required services. Exact times can change with weather and passage conditions.</w:t>
      </w:r>
    </w:p>
    <w:p w14:paraId="5CC08229" w14:textId="77777777" w:rsidR="00874D63" w:rsidRDefault="00000000">
      <w:r>
        <w:t>Berths differ in length, depth, access, power and operational restrictions. A physically empty berth may be unsuitable for the vessel or reserved within the same time window.</w:t>
      </w:r>
    </w:p>
    <w:p w14:paraId="604E5188" w14:textId="360657E5" w:rsidR="00874D63" w:rsidRDefault="00000000">
      <w:r>
        <w:t>Some requests remain provisional while vessel information, insurance evidence or harbour approval is checke</w:t>
      </w:r>
      <w:r w:rsidR="006477A2">
        <w:t>∂</w:t>
      </w:r>
      <w:r>
        <w:t>d. Staff disagree how long provisional holds should block other vessels.</w:t>
      </w:r>
    </w:p>
    <w:p w14:paraId="379ACB2A" w14:textId="77777777" w:rsidR="00874D63" w:rsidRDefault="00000000">
      <w:pPr>
        <w:pStyle w:val="Heading2"/>
      </w:pPr>
      <w:r>
        <w:t>Shared equipment and readiness</w:t>
      </w:r>
    </w:p>
    <w:p w14:paraId="4870CE4B" w14:textId="77777777" w:rsidR="00874D63" w:rsidRDefault="00000000">
      <w:r>
        <w:t>Equipment may be reserved with a berth or independently. Compatibility, rated capacity, connectors, inspection status and complete accessories matter.</w:t>
      </w:r>
    </w:p>
    <w:p w14:paraId="2AA6EA64" w14:textId="77777777" w:rsidR="00874D63" w:rsidRDefault="00000000">
      <w:r>
        <w:t>An item can be stored at the harbour but unavailable because it is installed elsewhere, wet, damaged or awaiting inspection. Sets can be incomplete even when the main component is present.</w:t>
      </w:r>
    </w:p>
    <w:p w14:paraId="607ABB51" w14:textId="77777777" w:rsidR="00874D63" w:rsidRDefault="00000000">
      <w:r>
        <w:t>Before issue, staff confirm the responsible person, intended use and current checks. Different equipment categories require different authorisation or supervision.</w:t>
      </w:r>
    </w:p>
    <w:p w14:paraId="5F710D15" w14:textId="77777777" w:rsidR="00874D63" w:rsidRDefault="00000000">
      <w:pPr>
        <w:pStyle w:val="Heading2"/>
      </w:pPr>
      <w:r>
        <w:t>Arrival, allocation and operational changes</w:t>
      </w:r>
    </w:p>
    <w:p w14:paraId="0F0FC5BC" w14:textId="77777777" w:rsidR="00874D63" w:rsidRDefault="00000000">
      <w:r>
        <w:t>On arrival, staff confirm the vessel, berth and service arrangements. A delayed vessel may overlap with the next booking, while an early arrival may need a temporary berth.</w:t>
      </w:r>
    </w:p>
    <w:p w14:paraId="6B216E5F" w14:textId="77777777" w:rsidR="00874D63" w:rsidRDefault="00000000">
      <w:r>
        <w:t>Weather, depth, works, incidents or vessel condition may require relocation, delayed entry or cancellation. Staff need to distinguish a changed berth from a rejected arrival.</w:t>
      </w:r>
    </w:p>
    <w:p w14:paraId="7C9431BD" w14:textId="77777777" w:rsidR="00874D63" w:rsidRDefault="00000000">
      <w:r>
        <w:t>Equipment may be moved between berth areas during operations. Changes agreed by radio or telephone are not always written into the harbour log promptly.</w:t>
      </w:r>
    </w:p>
    <w:p w14:paraId="5C4509D5" w14:textId="77777777" w:rsidR="00874D63" w:rsidRDefault="00000000">
      <w:pPr>
        <w:pStyle w:val="Heading2"/>
      </w:pPr>
      <w:r>
        <w:t>Departure, return and information</w:t>
      </w:r>
    </w:p>
    <w:p w14:paraId="5F97190D" w14:textId="77777777" w:rsidR="00874D63" w:rsidRDefault="00000000">
      <w:r>
        <w:t>Departure releases the berth only after relevant equipment and access arrangements are cleared. Shared equipment may return damaged, incomplete or requiring inspection.</w:t>
      </w:r>
    </w:p>
    <w:p w14:paraId="42A8FE69" w14:textId="77777777" w:rsidR="00874D63" w:rsidRDefault="00000000">
      <w:r>
        <w:t>Incidents and damage may involve vessel movement, harbour conditions or equipment. Staff need to record observations without deciding cause prematurely.</w:t>
      </w:r>
    </w:p>
    <w:p w14:paraId="6834D131" w14:textId="77777777" w:rsidR="00874D63" w:rsidRDefault="00000000">
      <w:r>
        <w:t>The harbour coordinator needs views of provisional arrivals, berth conflicts, equipment readiness, restrictions, delayed departures and unresolved inspections. Navigation control, vessel maintenance and financial accounting are outside scope.</w:t>
      </w:r>
    </w:p>
    <w:p w14:paraId="4D4A36D7" w14:textId="77777777" w:rsidR="00874D63" w:rsidRDefault="00000000">
      <w:pPr>
        <w:pStyle w:val="Heading2"/>
      </w:pPr>
      <w:r>
        <w:t>Stakeholder evidence</w:t>
      </w:r>
    </w:p>
    <w:p w14:paraId="3326C17B" w14:textId="77777777" w:rsidR="00874D63" w:rsidRDefault="00000000">
      <w:pPr>
        <w:pStyle w:val="ListBullet"/>
      </w:pPr>
      <w:r>
        <w:t>Harbour coordinator: “An empty berth is not automatically suitable for the next vessel.”</w:t>
      </w:r>
    </w:p>
    <w:p w14:paraId="70D94A52" w14:textId="77777777" w:rsidR="00874D63" w:rsidRDefault="00000000">
      <w:pPr>
        <w:pStyle w:val="ListBullet"/>
      </w:pPr>
      <w:r>
        <w:t>Vessel operator: “Arrival time may change with conditions, but I need to know how long the berth can be held.”</w:t>
      </w:r>
    </w:p>
    <w:p w14:paraId="5B05264C" w14:textId="77777777" w:rsidR="00874D63" w:rsidRDefault="00000000">
      <w:pPr>
        <w:pStyle w:val="ListBullet"/>
      </w:pPr>
      <w:r>
        <w:t>Equipment officer: “Stored in the harbour does not mean complete, inspected and available.”</w:t>
      </w:r>
    </w:p>
    <w:p w14:paraId="6F9B0AD9" w14:textId="77777777" w:rsidR="00874D63" w:rsidRDefault="00000000">
      <w:pPr>
        <w:pStyle w:val="ListBullet"/>
      </w:pPr>
      <w:r>
        <w:t>Harbour assistant: “A berth change agreed by radio may not reach the written log immediately.”</w:t>
      </w:r>
    </w:p>
    <w:p w14:paraId="29FC0D7C" w14:textId="77777777" w:rsidR="00874D63" w:rsidRDefault="00000000">
      <w:pPr>
        <w:pStyle w:val="ListBullet"/>
      </w:pPr>
      <w:r>
        <w:t>Safety officer: “Equipment rating and inspection matter as much as physical availability.”</w:t>
      </w:r>
    </w:p>
    <w:p w14:paraId="459E220B" w14:textId="77777777" w:rsidR="00874D63" w:rsidRDefault="00000000">
      <w:pPr>
        <w:pStyle w:val="ListBullet"/>
      </w:pPr>
      <w:r>
        <w:t>Coordinator: “The berth is not released until equipment and access arrangements are cleared.”</w:t>
      </w:r>
    </w:p>
    <w:p w14:paraId="5E8CCB39" w14:textId="77777777" w:rsidR="00874D63" w:rsidRDefault="00000000">
      <w:pPr>
        <w:pStyle w:val="Heading2"/>
      </w:pPr>
      <w:r>
        <w:lastRenderedPageBreak/>
        <w:t>Unresolved matters</w:t>
      </w:r>
    </w:p>
    <w:p w14:paraId="5A5D31A2" w14:textId="77777777" w:rsidR="00874D63" w:rsidRDefault="00000000">
      <w:r>
        <w:t>The scenario does not confirm every policy or decision. Clarification may be required about:</w:t>
      </w:r>
    </w:p>
    <w:p w14:paraId="4445EB38" w14:textId="77777777" w:rsidR="00874D63" w:rsidRDefault="00000000">
      <w:pPr>
        <w:pStyle w:val="ListBullet"/>
      </w:pPr>
      <w:r>
        <w:t>which vessel information and evidence is required before confirmation;</w:t>
      </w:r>
    </w:p>
    <w:p w14:paraId="495D953D" w14:textId="77777777" w:rsidR="00874D63" w:rsidRDefault="00000000">
      <w:pPr>
        <w:pStyle w:val="ListBullet"/>
      </w:pPr>
      <w:r>
        <w:t>how long provisional berth holds should remain active;</w:t>
      </w:r>
    </w:p>
    <w:p w14:paraId="26333375" w14:textId="77777777" w:rsidR="00874D63" w:rsidRDefault="00000000">
      <w:pPr>
        <w:pStyle w:val="ListBullet"/>
      </w:pPr>
      <w:r>
        <w:t>how berth suitability and temporary allocation should be determined;</w:t>
      </w:r>
    </w:p>
    <w:p w14:paraId="1549D15E" w14:textId="77777777" w:rsidR="00874D63" w:rsidRDefault="00000000">
      <w:pPr>
        <w:pStyle w:val="ListBullet"/>
      </w:pPr>
      <w:r>
        <w:t>which equipment requires authorisation or supervision;</w:t>
      </w:r>
    </w:p>
    <w:p w14:paraId="4BF1D006" w14:textId="77777777" w:rsidR="00874D63" w:rsidRDefault="00000000">
      <w:pPr>
        <w:pStyle w:val="ListBullet"/>
      </w:pPr>
      <w:r>
        <w:t>who may relocate, delay or refuse an arrival;</w:t>
      </w:r>
    </w:p>
    <w:p w14:paraId="16C65DF5" w14:textId="77777777" w:rsidR="00874D63" w:rsidRDefault="00000000">
      <w:pPr>
        <w:pStyle w:val="ListBullet"/>
      </w:pPr>
      <w:r>
        <w:t>when berth and equipment become available after departure;</w:t>
      </w:r>
    </w:p>
    <w:p w14:paraId="530F496F" w14:textId="77777777" w:rsidR="00874D63" w:rsidRDefault="00000000">
      <w:pPr>
        <w:pStyle w:val="ListBullet"/>
      </w:pPr>
      <w:r>
        <w:t>how incidents and damage should be recorded and shared.</w:t>
      </w:r>
    </w:p>
    <w:tbl>
      <w:tblPr>
        <w:tblW w:w="0" w:type="auto"/>
        <w:tblLook w:val="04A0" w:firstRow="1" w:lastRow="0" w:firstColumn="1" w:lastColumn="0" w:noHBand="0" w:noVBand="1"/>
      </w:tblPr>
      <w:tblGrid>
        <w:gridCol w:w="9866"/>
      </w:tblGrid>
      <w:tr w:rsidR="00874D63" w14:paraId="4C21F969" w14:textId="77777777">
        <w:tc>
          <w:tcPr>
            <w:tcW w:w="9866" w:type="dxa"/>
            <w:shd w:val="clear" w:color="auto" w:fill="E8F5F3"/>
            <w:tcMar>
              <w:top w:w="150" w:type="dxa"/>
              <w:left w:w="150" w:type="dxa"/>
              <w:bottom w:w="150" w:type="dxa"/>
              <w:right w:w="150" w:type="dxa"/>
            </w:tcMar>
          </w:tcPr>
          <w:p w14:paraId="0C810177" w14:textId="77777777" w:rsidR="00874D63" w:rsidRDefault="00000000">
            <w:r>
              <w:rPr>
                <w:b/>
                <w:color w:val="17365D"/>
              </w:rPr>
              <w:t xml:space="preserve">Important  </w:t>
            </w:r>
            <w:r>
              <w:t>Use scenario evidence, state temporary assumptions clearly, and identify questions or risks where stakeholder confirmation is required.</w:t>
            </w:r>
          </w:p>
        </w:tc>
      </w:tr>
    </w:tbl>
    <w:p w14:paraId="4E6A206A" w14:textId="77777777" w:rsidR="008905C0" w:rsidRDefault="008905C0"/>
    <w:sectPr w:rsidR="008905C0" w:rsidSect="00034616">
      <w:headerReference w:type="default" r:id="rId8"/>
      <w:footerReference w:type="default" r:id="rId9"/>
      <w:pgSz w:w="11906" w:h="16838"/>
      <w:pgMar w:top="850" w:right="1020" w:bottom="794"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8ED080" w14:textId="77777777" w:rsidR="008905C0" w:rsidRDefault="008905C0">
      <w:pPr>
        <w:spacing w:after="0" w:line="240" w:lineRule="auto"/>
      </w:pPr>
      <w:r>
        <w:separator/>
      </w:r>
    </w:p>
  </w:endnote>
  <w:endnote w:type="continuationSeparator" w:id="0">
    <w:p w14:paraId="26701559" w14:textId="77777777" w:rsidR="008905C0" w:rsidRDefault="008905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C5F4DA" w14:textId="77777777" w:rsidR="00874D63" w:rsidRDefault="00000000">
    <w:pPr>
      <w:pStyle w:val="Footer"/>
      <w:jc w:val="right"/>
    </w:pPr>
    <w:r>
      <w:t xml:space="preserve">Scenario </w:t>
    </w:r>
    <w:proofErr w:type="gramStart"/>
    <w:r>
      <w:t>24  |</w:t>
    </w:r>
    <w:proofErr w:type="gramEnd"/>
    <w:r>
      <w:t xml:space="preserve">  </w:t>
    </w:r>
    <w:r>
      <w:fldChar w:fldCharType="begin"/>
    </w:r>
    <w:r>
      <w:instrText>PAGE</w:instrText>
    </w:r>
    <w:r>
      <w:fldChar w:fldCharType="separate"/>
    </w:r>
    <w:r w:rsidR="006477A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500CBE1" w14:textId="77777777" w:rsidR="008905C0" w:rsidRDefault="008905C0">
      <w:pPr>
        <w:spacing w:after="0" w:line="240" w:lineRule="auto"/>
      </w:pPr>
      <w:r>
        <w:separator/>
      </w:r>
    </w:p>
  </w:footnote>
  <w:footnote w:type="continuationSeparator" w:id="0">
    <w:p w14:paraId="2C4BB85D" w14:textId="77777777" w:rsidR="008905C0" w:rsidRDefault="008905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2EAC3A" w14:textId="77777777" w:rsidR="00874D63" w:rsidRDefault="00000000">
    <w:pPr>
      <w:pStyle w:val="Header"/>
      <w:jc w:val="right"/>
    </w:pPr>
    <w:r>
      <w:t>SAAD</w:t>
    </w:r>
    <w:proofErr w:type="gramStart"/>
    <w:r>
      <w:t>71000  |</w:t>
    </w:r>
    <w:proofErr w:type="gramEnd"/>
    <w:r>
      <w:t xml:space="preserve">  CA1 Scenario 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0A60C96"/>
    <w:lvl w:ilvl="0">
      <w:start w:val="1"/>
      <w:numFmt w:val="bullet"/>
      <w:pStyle w:val="ListBullet"/>
      <w:lvlText w:val=""/>
      <w:lvlJc w:val="left"/>
      <w:pPr>
        <w:tabs>
          <w:tab w:val="num" w:pos="360"/>
        </w:tabs>
        <w:ind w:left="360" w:hanging="360"/>
      </w:pPr>
      <w:rPr>
        <w:rFonts w:ascii="Symbol" w:hAnsi="Symbol" w:hint="default"/>
      </w:rPr>
    </w:lvl>
  </w:abstractNum>
  <w:num w:numId="1" w16cid:durableId="758209076">
    <w:abstractNumId w:val="8"/>
  </w:num>
  <w:num w:numId="2" w16cid:durableId="726605597">
    <w:abstractNumId w:val="6"/>
  </w:num>
  <w:num w:numId="3" w16cid:durableId="69088243">
    <w:abstractNumId w:val="5"/>
  </w:num>
  <w:num w:numId="4" w16cid:durableId="2054301541">
    <w:abstractNumId w:val="4"/>
  </w:num>
  <w:num w:numId="5" w16cid:durableId="1121148062">
    <w:abstractNumId w:val="7"/>
  </w:num>
  <w:num w:numId="6" w16cid:durableId="1549731176">
    <w:abstractNumId w:val="3"/>
  </w:num>
  <w:num w:numId="7" w16cid:durableId="839127403">
    <w:abstractNumId w:val="2"/>
  </w:num>
  <w:num w:numId="8" w16cid:durableId="1783643025">
    <w:abstractNumId w:val="1"/>
  </w:num>
  <w:num w:numId="9" w16cid:durableId="190915124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0393"/>
    <w:rsid w:val="006477A2"/>
    <w:rsid w:val="00874D63"/>
    <w:rsid w:val="008905C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614EBF"/>
  <w14:defaultImageDpi w14:val="300"/>
  <w15:docId w15:val="{2D4EFD96-1762-5541-BFC0-560DC82D2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0" w:lineRule="auto"/>
    </w:pPr>
    <w:rPr>
      <w:rFonts w:ascii="Aptos" w:hAnsi="Aptos"/>
      <w:color w:val="243447"/>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b/>
      <w:bCs/>
      <w:color w:val="008A8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656</Words>
  <Characters>3743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SAAD71000 CA1 Scenario 24: Harbour Equipment and Berth Service</dc:title>
  <dc:subject/>
  <dc:creator>Andrew Shields</dc:creator>
  <cp:keywords/>
  <dc:description>generated by python-docx</dc:description>
  <cp:lastModifiedBy>Student Anastasiia Tkachenko (TL_KCOMP_B_Y3)</cp:lastModifiedBy>
  <cp:revision>2</cp:revision>
  <dcterms:created xsi:type="dcterms:W3CDTF">2026-10-02T21:32:00Z</dcterms:created>
  <dcterms:modified xsi:type="dcterms:W3CDTF">2026-10-09T22:08:00Z</dcterms:modified>
  <cp:category/>
</cp:coreProperties>
</file>