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ВИСНОВКИ</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rtl w:val="0"/>
        </w:rPr>
        <w:tab/>
        <w:t xml:space="preserve"> </w:t>
        <w:tab/>
        <w:t xml:space="preserve"> </w:t>
        <w:tab/>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8"/>
          <w:szCs w:val="28"/>
          <w:rtl w:val="0"/>
        </w:rPr>
        <w:t xml:space="preserve">В системі визначено наступних користувачів:</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неавторизований </w:t>
        <w:tab/>
        <w:t xml:space="preserve">користувач;</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8"/>
          <w:szCs w:val="28"/>
          <w:rtl w:val="0"/>
        </w:rPr>
        <w:t xml:space="preserve">авторизований </w:t>
        <w:tab/>
        <w:t xml:space="preserve">користувач – Модератор;</w:t>
      </w: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авторизований користувач даних;</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Користувачів кожного виду може бути більше ніж один, тобто маємо 3 базових груп користувачів.</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Неавторизований користувач має наступні можливості:</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 реєстрація/авторизація в системі.</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Авторизовані користувачі мають групи в якості загальної області видимості даних мають:</w:t>
      </w:r>
      <w:r w:rsidDel="00000000" w:rsidR="00000000" w:rsidRPr="00000000">
        <w:rPr>
          <w:rtl w:val="0"/>
        </w:rPr>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Перевірка </w:t>
        <w:tab/>
        <w:t xml:space="preserve">статті;</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Авторизований модератор має можливість додавати та видалти користувачів та приклади статей.</w:t>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8"/>
          <w:szCs w:val="28"/>
          <w:rtl w:val="0"/>
        </w:rPr>
        <w:t xml:space="preserve">При виконанні етапу курсової роботи отримано досвід аналізу користувачів та ролей у інформаційній системі на прикладі інформаційної системи «Визначення плагіату».</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8"/>
          <w:szCs w:val="28"/>
          <w:rtl w:val="0"/>
        </w:rPr>
        <w:t xml:space="preserve">В ході виконання другого етапу курсової роботи за допомогою Power Designer було створено Use Case діаграми для 2-ох головних груп користувачів: адміністраторів та інших користувачів.</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III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8"/>
          <w:szCs w:val="28"/>
          <w:rtl w:val="0"/>
        </w:rPr>
        <w:t xml:space="preserve">В ході виконання третього етапу курсової роботи за допомогою Power Designer було створено Sequence Diagram діаграми для 2-ох головних груп користувачів та процесів, з якими взаємодіють ці користувачі. Sequence Diagram допомагає зрозуміти порядок автивації процесів та оптимізувати навантаження на систему.</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IV</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rtl w:val="0"/>
        </w:rPr>
        <w:t xml:space="preserve">Розглянемо діаграму нотації станів об’єкта «User» (зображена на рисунку 3.1) та діаграму потоків процеса «авторизація» (зображена на рисунку 1.1). Діаграма нотації станів має 6 станів: «користувач неавторизований», «користувач зареєстрований», «користувач стрворений адміном», «користувач залогінився», «користувач тимчасово зареєстрований», «користувач видалений з системи». Відповідно до діагдами, користувач заходить в систему, знаходиться в стані «неавторизований користувач». Потім, такий користувач має можливість самостійно зареєструватись в системі (перейти в стан «зареєстрований користувач»), або ввійти в системі за раніше зареєстрованим в системі аккаунтом (перейти в стан «користувач залогінився»), або бути тимчасово зареєстрованим в системі (перейти в стан «користувач тимчасово зареєстрований»). Після самостійної реєстрації користувач може бути видалений з системи, якщо він не має права доступу до системи відповідно до інформації, яку має Admin, або користувач може залогінитись. Після переходу в стан «користувач тимчасово зареєстрований» або «користувач залогінився», користувач також може бути видалений користувачем Admin з системи відповідно до інформації, яка в нього є. Діаграма станів тісно пов’язана з діаграмою потоків. Кожна зміна стану спричинаяється відповідним процесом.</w:t>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rtl w:val="0"/>
        </w:rPr>
        <w:t xml:space="preserve">Розглянемо діаграму нотації станів об’єкта «Sample» (зображена на рисунку 1.2). Діаграма нотації станів має чотири стани: «Sample не створено», «Sample створено», «Sample видалено».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V</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Times New Roman" w:cs="Times New Roman" w:eastAsia="Times New Roman" w:hAnsi="Times New Roman"/>
          <w:sz w:val="28"/>
          <w:szCs w:val="28"/>
          <w:rtl w:val="0"/>
        </w:rPr>
        <w:t xml:space="preserve">Процес Authentication розроблюються за каскадною моделлю життєвого циклу, бо працює з доступом до системи та данних користувача, тому має буди максимально надійним та мати високу якість і не зазнаватиме змін у майбутньому. </w:t>
        <w:tab/>
        <w:t xml:space="preserve">Процес Manage moderators розроблюються за каскадною моделлю життєвого циклу, працює з данними кристувачів. </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Процес Manage samples розроблюється за спірально моделлю життєвого циклу, тому що не вимагає високого рівня безпеки, бо немає зв’язку з данними користувачів та їх доступу до системи і може мати потреби в редагуванні.</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 xml:space="preserve">Процес Check text for plagiat розроблюється за V-моделлю життєвого циклу, тому що для досягнення найвищої точності роботи процессу є потреба тестувати кожен етап розробки.</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VI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pPr>
        <w:spacing w:line="259.20000000000005" w:lineRule="auto"/>
        <w:ind w:firstLine="720"/>
        <w:contextualSpacing w:val="0"/>
        <w:jc w:val="both"/>
      </w:pPr>
      <w:r w:rsidDel="00000000" w:rsidR="00000000" w:rsidRPr="00000000">
        <w:rPr>
          <w:rFonts w:ascii="Times New Roman" w:cs="Times New Roman" w:eastAsia="Times New Roman" w:hAnsi="Times New Roman"/>
          <w:sz w:val="28"/>
          <w:szCs w:val="28"/>
          <w:rtl w:val="0"/>
        </w:rPr>
        <w:t xml:space="preserve">Побудова DFD дозволяє побачити чіткі рамки системи, де закінчується система. Дозволяє визначити модулі програми, що можеть розроблятись окремо. Дозволяє побачити і проаналізувати комунікації системи з зовнішнім оточенням. Також побудова діаграм допомагає зрозуміти зв’язок між підпроцессами в системі та взаємозв’язок внутрішніх та зовнішніх сутностей системи.</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VII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Розроблена в рамках виконання етапу курсової роботи діаграма «сутність-зв’язок» (ERD) для процесу «Здача заліку» складається із:</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а) сутностей (кількість – 2);</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б) зв’язків.</w:t>
      </w:r>
    </w:p>
    <w:p w:rsidR="00000000" w:rsidDel="00000000" w:rsidP="00000000" w:rsidRDefault="00000000" w:rsidRPr="00000000">
      <w:pPr>
        <w:spacing w:line="360" w:lineRule="auto"/>
        <w:contextualSpacing w:val="0"/>
        <w:jc w:val="both"/>
      </w:pPr>
      <w:r w:rsidDel="00000000" w:rsidR="00000000" w:rsidRPr="00000000">
        <w:rPr>
          <w:rFonts w:ascii="Times New Roman" w:cs="Times New Roman" w:eastAsia="Times New Roman" w:hAnsi="Times New Roman"/>
          <w:sz w:val="28"/>
          <w:szCs w:val="28"/>
          <w:rtl w:val="0"/>
        </w:rPr>
        <w:t xml:space="preserve">Основний елемент діаграми ERD - це сутність: множина об’єктів зі спільними характеристиками, які називаються атрибутами. Діаграма ERD, побудована в рамках виконання етапу курсової роботи, відповідає бізнес-логіці, яка була описана в попередніх етапах.</w:t>
      </w:r>
    </w:p>
    <w:p w:rsidR="00000000" w:rsidDel="00000000" w:rsidP="00000000" w:rsidRDefault="00000000" w:rsidRPr="00000000">
      <w:pPr>
        <w:spacing w:line="259.20000000000005" w:lineRule="auto"/>
        <w:contextualSpacing w:val="0"/>
        <w:jc w:val="both"/>
      </w:pPr>
      <w:r w:rsidDel="00000000" w:rsidR="00000000" w:rsidRPr="00000000">
        <w:rPr>
          <w:rFonts w:ascii="Times New Roman" w:cs="Times New Roman" w:eastAsia="Times New Roman" w:hAnsi="Times New Roman"/>
          <w:sz w:val="28"/>
          <w:szCs w:val="28"/>
          <w:rtl w:val="0"/>
        </w:rPr>
        <w:t xml:space="preserve">При виконанні домашньої роботи закріплено досвід визначення сутностей та зв’язків між ними і побудови діаграми «сутність-зв’язок» на прикладі процесу «Визначення плагіату».</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8"/>
          <w:szCs w:val="28"/>
          <w:rtl w:val="0"/>
        </w:rPr>
        <w:t xml:space="preserve">VIII</w:t>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8"/>
          <w:szCs w:val="28"/>
          <w:rtl w:val="0"/>
        </w:rPr>
        <w:tab/>
        <w:t xml:space="preserve"> </w:t>
        <w:tab/>
        <w:t xml:space="preserve"> </w:t>
        <w:tab/>
      </w:r>
    </w:p>
    <w:p w:rsidR="00000000" w:rsidDel="00000000" w:rsidP="00000000" w:rsidRDefault="00000000" w:rsidRPr="00000000">
      <w:pPr>
        <w:spacing w:line="360" w:lineRule="auto"/>
        <w:ind w:firstLine="720"/>
        <w:contextualSpacing w:val="0"/>
        <w:jc w:val="both"/>
      </w:pPr>
      <w:r w:rsidDel="00000000" w:rsidR="00000000" w:rsidRPr="00000000">
        <w:rPr>
          <w:rFonts w:ascii="Times New Roman" w:cs="Times New Roman" w:eastAsia="Times New Roman" w:hAnsi="Times New Roman"/>
          <w:sz w:val="28"/>
          <w:szCs w:val="28"/>
          <w:rtl w:val="0"/>
        </w:rPr>
        <w:t xml:space="preserve">В рамках виконання етапу було отримано практичні навички побудови архітектури системи для окремих блоків процесів системи на прикладі інформаційної системи «Визначення плагіату». Для обох блоків процесів даної інформаційної системи визначено архітектуру системи.</w:t>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