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ІІ ЕТАПУ КУРСОВОЇ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 та інформаційні системи”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rtl w:val="0"/>
        </w:rPr>
        <w:t xml:space="preserve">Визначення плагіату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ІV курсу, групи КМ-31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220"/>
        </w:tabs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напряму підготовки 6.040301 – прикладна математика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220"/>
        </w:tabs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Мисника П.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707.999999999999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ТЕРЕЩЕНКО І.О.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10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Оцінка: ___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before="0" w:line="360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16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30j0zll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ВСТУП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3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scid6rstdpiq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 USE CASE ДЛЯ ЗВИЧАЙНИХ КОРСИТУВАЧІВ (SLAVE)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4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rbseba37e9vl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2 USE CASE ДЛЯ АДМІНІСТРАТОРІВ (MASTER)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</w:t>
        <w:tab/>
        <w:tab/>
        <w:t xml:space="preserve">                5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ВИСНОВКИ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      6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17dp8vu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ПЕРЕЛІК ПОСИЛАНЬ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      7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hyperlink w:anchor="_Toc4614815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hyperlink w:anchor="_Toc4614815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bookmarkStart w:colFirst="0" w:colLast="0" w:name="kix.4uqj6irx5tu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данному етапі курсової роботи на тему : «Визначення плагіату» необхідно побудувати Use Case діаграми для усіх типів звичайних користувачів, що будуть наявні у системі. Для того, щоб створити такі схеми, важливо проаналізувати послідовність дій кожного з акторів. Use Case діаграми будуть складатися з актора, процесів, що присутні у системі, а також переходами різних типів, в залежності від логіки роботи.</w:t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left="0" w:firstLine="0"/>
        <w:contextualSpacing w:val="0"/>
        <w:jc w:val="left"/>
      </w:pPr>
      <w:bookmarkStart w:colFirst="0" w:colLast="0" w:name="_roan22348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left="0" w:firstLine="0"/>
        <w:contextualSpacing w:val="0"/>
        <w:jc w:val="left"/>
      </w:pPr>
      <w:bookmarkStart w:colFirst="0" w:colLast="0" w:name="_p2qshi3f3gq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scid6rstdpiq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USE CASE ДЛЯ ЗВИЧАЙНИХ КОРСИТУВАЧІВ (SLAVE)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системі було передбачено 1 тип звичайних користувачів, так званих slave – це користувачі, які не є адміністраторами. Вони поділяються на авторизованих і неавторизованих. Так як авторизований користувач відрізняється від неавторизованого тим, що має додаткові інтерфейси для роботи с системою, зобразимо їх роботу за допомогою однієї діаграми з різними областями роботи, для тих, хто пройшов процес “Sign in”. Створений Use Case зображено на рисунку 1.</w:t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57775" cy="3881438"/>
            <wp:effectExtent b="0" l="0" r="0" t="0"/>
            <wp:docPr descr="21.jpg" id="1" name="image02.jpg"/>
            <a:graphic>
              <a:graphicData uri="http://schemas.openxmlformats.org/drawingml/2006/picture">
                <pic:pic>
                  <pic:nvPicPr>
                    <pic:cNvPr descr="21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Use Case діаграма для звичайних користувачів.</w:t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діаграмі відображено можливість неавторизованого користувача переглядати список готелів, і також зображено розширення функціоналу в результаті входу у систему, як авторизований користувач.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line="360" w:lineRule="auto"/>
        <w:ind w:left="709" w:firstLine="0"/>
        <w:contextualSpacing w:val="0"/>
        <w:jc w:val="center"/>
      </w:pPr>
      <w:bookmarkStart w:colFirst="0" w:colLast="0" w:name="_rbseba37e9vl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USE CASE ДЛЯ АДМІНІСТРАТОРІВ (MASTER)</w:t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Притримуючись логіки, що була встановлена для системи, побудуємо діаграму для адміністраторів. Адміністратор Інформаційної системи буде мати можливість напряму мати доступ до особистого кабінету користувачів і також буде мати можливість створити форму на рівня зі звичайними користувачами. Дана логіка схематично зображена на рисунку 2.</w:t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618798" cy="3943350"/>
            <wp:effectExtent b="0" l="0" r="0" t="0"/>
            <wp:docPr descr="22.jpg" id="2" name="image03.jpg"/>
            <a:graphic>
              <a:graphicData uri="http://schemas.openxmlformats.org/drawingml/2006/picture">
                <pic:pic>
                  <pic:nvPicPr>
                    <pic:cNvPr descr="22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798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Область дії адміністратора інформаційної системи</w:t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5vtseaiz3aw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mlvkvgjnm0l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другого етапу курсової роботи за допомогою Power Designer було створено Use Case діаграми для 2-ох головних груп користувачів: адміністраторів та інших користувачів.</w:t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ПЕРЕЛІК ПОСИЛАНЬ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В.В. Корнеев, А.Ф. Гареев, С.В. Васютин, В.В. Райх Базы данных. Интеллектуальная обработка информации. – М.: Нолидж, 2001.- 496с.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Хансен Г., Хансен Д. Базы данных. Разработка и управление. – М.: Бином, 2000. – 704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4" w:top="1134" w:left="1134" w:right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677"/>
        <w:tab w:val="right" w:pos="9355"/>
      </w:tabs>
      <w:spacing w:after="0" w:before="709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677"/>
        <w:tab w:val="right" w:pos="9355"/>
      </w:tabs>
      <w:spacing w:after="0" w:before="0" w:line="240" w:lineRule="auto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9" w:lineRule="auto"/>
      <w:jc w:val="left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40" w:line="259" w:lineRule="auto"/>
      <w:jc w:val="left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jpg"/><Relationship Id="rId7" Type="http://schemas.openxmlformats.org/officeDocument/2006/relationships/header" Target="header1.xml"/></Relationships>
</file>