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V ЕТАПУ КУРСОВОЇ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 та інформаційні системи”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Визначення плагіату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ІV курсу, групи КМ-31 напряму підготовки 6.040301 – прикладна математика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220"/>
        </w:tabs>
        <w:spacing w:after="0" w:before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МИСНИКА П.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670" w:firstLine="707.999999999999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ТЕРЕЩЕНКО І.О.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6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Оцінка: ___ балів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spacing w:after="16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>
      <w:pPr>
        <w:widowControl w:val="1"/>
        <w:tabs>
          <w:tab w:val="right" w:pos="10195"/>
        </w:tabs>
        <w:spacing w:after="0" w:before="0" w:line="360" w:lineRule="auto"/>
        <w:contextualSpacing w:val="0"/>
        <w:jc w:val="left"/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ПОСТАНОВКА ЗАДАЧІ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hyperlink w:anchor="_Toc46364768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10195"/>
        </w:tabs>
        <w:spacing w:after="0" w:before="0" w:line="360" w:lineRule="auto"/>
        <w:contextualSpacing w:val="0"/>
        <w:jc w:val="left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ПРОЦЕСИ ТА МОДЕЛІ ЖИТТЄВОГО ЦИКЛУ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hyperlink w:anchor="_Toc46364768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10195"/>
        </w:tabs>
        <w:spacing w:after="0" w:before="0" w:line="360" w:lineRule="auto"/>
        <w:contextualSpacing w:val="0"/>
        <w:jc w:val="left"/>
      </w:pPr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ВИСНОВКИ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hyperlink w:anchor="_Toc46364768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1"/>
        <w:tabs>
          <w:tab w:val="right" w:pos="10195"/>
        </w:tabs>
        <w:spacing w:after="0" w:before="0" w:line="360" w:lineRule="auto"/>
        <w:contextualSpacing w:val="0"/>
        <w:jc w:val="left"/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 xml:space="preserve">ПЕРЕЛІК ПОСИЛАНЬ</w:t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hyperlink w:anchor="_Toc46364768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hyperlink w:anchor="_Toc46364768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6364768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ПОСТАНОВКА ЗАДАЧІ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0"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Завдання: вказати та аргументувати модель життєвого циклу для кожного підпроцесу основного процесу.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ПРОЦЕСИ ТА МОДЕЛІ ЖИТТЄВОГО ЦИКЛУ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 — каскадна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 moderators — каскадна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 samples — спіральна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 text for plagiat — V-модель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Authentication розроблюються за каскадною моделлю життєвого циклу, бо працює з доступом до системи та данних користувача, тому має буди максимально надійним та мати високу якість і не зазнаватиме змін у майбутньому. </w:t>
        <w:tab/>
        <w:t xml:space="preserve">Процес Manage moderators розроблюються за каскадною моделлю життєвого циклу, працює з данними кристувачів.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Manage samples розроблюється за спірально моделлю життєвого циклу, тому що не вимагає високого рівня безпеки, бо немає зв’язку з данними користувачів та їх доступу до системи і може мати потреби в редагуванні.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 Check text for plagiat розроблюється за V-моделлю життєвого циклу, тому що для досягнення найвищої точності роботи процессу є потреба тестувати кожен етап розробки.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60" w:before="0" w:line="360" w:lineRule="auto"/>
        <w:ind w:firstLine="709"/>
        <w:contextualSpacing w:val="0"/>
        <w:jc w:val="center"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ПЕРЕЛІК ПОСИЛАНЬ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В.В. Корнеев, А.Ф. Гареев, С.В. Васютин, В.В. Райх Базы данных. Интеллектуальная обработка информации. – М.: Нолидж, 2001.- 496с.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Хансен Г., Хансен Д. Базы данных. Разработка и управление. – М.: Бином, 2000. – 704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К.: НТУУ «КПІ», 2015. – 102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134" w:top="1134" w:left="1134" w:right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709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677"/>
        <w:tab w:val="right" w:pos="9355"/>
      </w:tabs>
      <w:spacing w:after="0" w:before="0" w:line="240" w:lineRule="auto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9" w:lineRule="auto"/>
      <w:jc w:val="left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40" w:line="259" w:lineRule="auto"/>
      <w:jc w:val="left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