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Operating controls in cytometry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PART 1. Isotypic control vs minimal concentration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54864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54864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54864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Student's t-test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High_conf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Low_conf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Alternative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0.00056594362820016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-7083.26233819133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-5644.00432847533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Welch Two Sample t-test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two.sided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0.000317956436648062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-6525.9794702298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-5558.4205297702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Welch Two Sample t-test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two.sided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0.00056594362820016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-7083.26233819133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-5644.00432847533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Welch Two Sample t-test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two.sided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0.000317956436648062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-6525.9794702298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-5558.4205297702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Welch Two Sample t-test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two.sided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PART 2. Unstained vs negative control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Alternative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Wilcoxon rank sum 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two.sided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PLATE_2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Wilcoxon rank sum test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two.sided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3945fde49c4.jpeg"/><Relationship Id="rId9" Type="http://schemas.openxmlformats.org/officeDocument/2006/relationships/image" Target="media/file1394fdd7a69.jpeg"/><Relationship Id="rId10" Type="http://schemas.openxmlformats.org/officeDocument/2006/relationships/image" Target="media/file139415a1ba2.jpeg"/><Relationship Id="rId11" Type="http://schemas.openxmlformats.org/officeDocument/2006/relationships/image" Target="media/file139435d6b2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2019-08-01T10:03:26Z</dcterms:modified>
  <cp:category/>
</cp:coreProperties>
</file>