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:Mighty Beet — детальніше заглибся в практику.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highlight w:val="white"/>
          <w:rtl w:val="0"/>
        </w:rPr>
        <w:t xml:space="preserve">. Використовуючи опис вебсервісу за адресою </w:t>
      </w:r>
      <w:hyperlink r:id="rId7">
        <w:r w:rsidDel="00000000" w:rsidR="00000000" w:rsidRPr="00000000">
          <w:rPr>
            <w:color w:val="35876f"/>
            <w:highlight w:val="white"/>
            <w:rtl w:val="0"/>
          </w:rPr>
          <w:t xml:space="preserve">DataFlex Web Service for Country information</w:t>
        </w:r>
      </w:hyperlink>
      <w:r w:rsidDel="00000000" w:rsidR="00000000" w:rsidRPr="00000000">
        <w:rPr>
          <w:highlight w:val="white"/>
          <w:rtl w:val="0"/>
        </w:rPr>
        <w:t xml:space="preserve"> (WSDL можна скачати за посиланням </w:t>
      </w:r>
      <w:hyperlink r:id="rId8">
        <w:r w:rsidDel="00000000" w:rsidR="00000000" w:rsidRPr="00000000">
          <w:rPr>
            <w:color w:val="35876f"/>
            <w:highlight w:val="white"/>
            <w:rtl w:val="0"/>
          </w:rPr>
          <w:t xml:space="preserve">Country Information.wsdl</w:t>
        </w:r>
      </w:hyperlink>
      <w:r w:rsidDel="00000000" w:rsidR="00000000" w:rsidRPr="00000000">
        <w:rPr>
          <w:highlight w:val="white"/>
          <w:rtl w:val="0"/>
        </w:rPr>
        <w:t xml:space="preserve">), створи тестовий набір: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1.1. Два степи з різними даними для позитивної перевірки операцій: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1.2. До кожної перевірки застосуй мінімум 3 асерти.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1.3. Для кожної перевірки застосуй мінімум 2 змінні.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CapitalCity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Позитивна перевірка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8548688" cy="436234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48688" cy="4362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Негативна перевірка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9315450" cy="4076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CountryISOCode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Позитивна перевірка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9486900" cy="51911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Негативна перевірка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9467850" cy="4905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67850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CountryCurrency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Позитивн перевірка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9458325" cy="48482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Негативна перевірка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9505950" cy="48482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05950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CountriesUsingCurrency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Позитивна перевірка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9486900" cy="5467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Негативна перевірка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8924925" cy="4953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2492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ebservices.oorsprong.org/websamples.countryinfo/CountryInfoService.wso" TargetMode="External"/><Relationship Id="rId8" Type="http://schemas.openxmlformats.org/officeDocument/2006/relationships/hyperlink" Target="http://webservices.oorsprong.org/websamples.countryinfo/CountryInfoService.wso?WS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