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30" w:type="dxa"/>
          <w:right w:w="0" w:type="dxa"/>
        </w:tblCellMar>
        <w:tblLook w:val="04A0" w:firstRow="1" w:lastRow="0" w:firstColumn="1" w:lastColumn="0" w:noHBand="0" w:noVBand="1"/>
      </w:tblPr>
      <w:tblGrid>
        <w:gridCol w:w="470"/>
        <w:gridCol w:w="470"/>
        <w:gridCol w:w="470"/>
        <w:gridCol w:w="470"/>
        <w:gridCol w:w="468"/>
        <w:gridCol w:w="468"/>
        <w:gridCol w:w="469"/>
        <w:gridCol w:w="469"/>
        <w:gridCol w:w="469"/>
        <w:gridCol w:w="76"/>
        <w:gridCol w:w="76"/>
        <w:gridCol w:w="76"/>
        <w:gridCol w:w="536"/>
        <w:gridCol w:w="535"/>
        <w:gridCol w:w="535"/>
        <w:gridCol w:w="154"/>
        <w:gridCol w:w="154"/>
        <w:gridCol w:w="154"/>
        <w:gridCol w:w="154"/>
        <w:gridCol w:w="154"/>
        <w:gridCol w:w="154"/>
        <w:gridCol w:w="154"/>
        <w:gridCol w:w="154"/>
        <w:gridCol w:w="134"/>
        <w:gridCol w:w="134"/>
        <w:gridCol w:w="76"/>
        <w:gridCol w:w="76"/>
        <w:gridCol w:w="76"/>
        <w:gridCol w:w="157"/>
        <w:gridCol w:w="157"/>
        <w:gridCol w:w="157"/>
        <w:gridCol w:w="157"/>
        <w:gridCol w:w="157"/>
        <w:gridCol w:w="157"/>
        <w:gridCol w:w="157"/>
        <w:gridCol w:w="157"/>
        <w:gridCol w:w="157"/>
        <w:gridCol w:w="157"/>
      </w:tblGrid>
      <w:tr w:rsidR="00A1637D" w:rsidRPr="00A1637D" w:rsidTr="00D43B6E">
        <w:trPr>
          <w:trHeight w:val="405"/>
        </w:trPr>
        <w:tc>
          <w:tcPr>
            <w:tcW w:w="0" w:type="auto"/>
            <w:gridSpan w:val="36"/>
            <w:vAlign w:val="bottom"/>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D43B6E">
        <w:trPr>
          <w:trHeight w:val="405"/>
        </w:trPr>
        <w:tc>
          <w:tcPr>
            <w:tcW w:w="0" w:type="auto"/>
            <w:gridSpan w:val="36"/>
            <w:vAlign w:val="bottom"/>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D43B6E">
        <w:trPr>
          <w:trHeight w:val="405"/>
        </w:trPr>
        <w:tc>
          <w:tcPr>
            <w:tcW w:w="0" w:type="auto"/>
            <w:gridSpan w:val="36"/>
            <w:vAlign w:val="bottom"/>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D43B6E">
        <w:trPr>
          <w:trHeight w:val="405"/>
        </w:trPr>
        <w:tc>
          <w:tcPr>
            <w:tcW w:w="0" w:type="auto"/>
            <w:gridSpan w:val="36"/>
            <w:vAlign w:val="bottom"/>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D43B6E">
        <w:trPr>
          <w:trHeight w:val="405"/>
        </w:trPr>
        <w:tc>
          <w:tcPr>
            <w:tcW w:w="0" w:type="auto"/>
            <w:gridSpan w:val="36"/>
            <w:vAlign w:val="bottom"/>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D43B6E">
        <w:trPr>
          <w:trHeight w:val="405"/>
        </w:trPr>
        <w:tc>
          <w:tcPr>
            <w:tcW w:w="0" w:type="auto"/>
            <w:gridSpan w:val="36"/>
            <w:vAlign w:val="bottom"/>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165"/>
        </w:trPr>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435"/>
        </w:trPr>
        <w:tc>
          <w:tcPr>
            <w:tcW w:w="0" w:type="auto"/>
            <w:gridSpan w:val="9"/>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Амбулаторная карта №</w:t>
            </w:r>
          </w:p>
        </w:tc>
        <w:tc>
          <w:tcPr>
            <w:tcW w:w="0" w:type="auto"/>
            <w:gridSpan w:val="29"/>
            <w:vAlign w:val="center"/>
            <w:hideMark/>
          </w:tcPr>
          <w:p w:rsidR="00A1637D" w:rsidRPr="00A1637D" w:rsidRDefault="00FE3E2E" w:rsidP="00A1637D">
            <w:pPr>
              <w:spacing w:after="0" w:line="240" w:lineRule="auto"/>
              <w:rPr>
                <w:rFonts w:ascii="Times New Roman" w:eastAsia="Times New Roman" w:hAnsi="Times New Roman" w:cs="Times New Roman"/>
                <w:sz w:val="20"/>
                <w:szCs w:val="20"/>
                <w:lang w:eastAsia="ru-RU"/>
              </w:rPr>
            </w:pPr>
            <w:r w:rsidRPr="00FE3E2E">
              <w:rPr>
                <w:rFonts w:ascii="Times New Roman" w:eastAsia="Times New Roman" w:hAnsi="Times New Roman" w:cs="Times New Roman"/>
                <w:sz w:val="20"/>
                <w:szCs w:val="20"/>
                <w:lang w:eastAsia="ru-RU"/>
              </w:rPr>
              <w:t>1 ЖП (1</w:t>
            </w:r>
            <w:r>
              <w:rPr>
                <w:rFonts w:ascii="Times New Roman" w:eastAsia="Times New Roman" w:hAnsi="Times New Roman" w:cs="Times New Roman"/>
                <w:sz w:val="20"/>
                <w:szCs w:val="20"/>
                <w:lang w:eastAsia="ru-RU"/>
              </w:rPr>
              <w:t>0</w:t>
            </w:r>
            <w:bookmarkStart w:id="0" w:name="_GoBack"/>
            <w:bookmarkEnd w:id="0"/>
            <w:r w:rsidRPr="00FE3E2E">
              <w:rPr>
                <w:rFonts w:ascii="Times New Roman" w:eastAsia="Times New Roman" w:hAnsi="Times New Roman" w:cs="Times New Roman"/>
                <w:sz w:val="20"/>
                <w:szCs w:val="20"/>
                <w:lang w:eastAsia="ru-RU"/>
              </w:rPr>
              <w:t>)</w:t>
            </w:r>
          </w:p>
        </w:tc>
      </w:tr>
      <w:tr w:rsidR="00A1637D" w:rsidRPr="00A1637D" w:rsidTr="00A1637D">
        <w:trPr>
          <w:trHeight w:val="405"/>
        </w:trPr>
        <w:tc>
          <w:tcPr>
            <w:tcW w:w="0" w:type="auto"/>
            <w:gridSpan w:val="38"/>
            <w:hideMark/>
          </w:tcPr>
          <w:p w:rsidR="00A1637D" w:rsidRPr="00A1637D" w:rsidRDefault="00A1637D" w:rsidP="00A1637D">
            <w:pPr>
              <w:spacing w:after="0" w:line="240" w:lineRule="auto"/>
              <w:jc w:val="center"/>
              <w:rPr>
                <w:rFonts w:ascii="Times New Roman" w:eastAsia="Times New Roman" w:hAnsi="Times New Roman" w:cs="Times New Roman"/>
                <w:b/>
                <w:bCs/>
                <w:lang w:eastAsia="ru-RU"/>
              </w:rPr>
            </w:pPr>
            <w:r w:rsidRPr="00A1637D">
              <w:rPr>
                <w:rFonts w:ascii="Times New Roman" w:eastAsia="Times New Roman" w:hAnsi="Times New Roman" w:cs="Times New Roman"/>
                <w:b/>
                <w:bCs/>
                <w:lang w:eastAsia="ru-RU"/>
              </w:rPr>
              <w:t>ПРОТОКОЛ УЗИ ОРГАНОВ БРЮШНОЙ ПОЛОСТИ</w:t>
            </w:r>
          </w:p>
        </w:tc>
      </w:tr>
      <w:tr w:rsidR="00A1637D" w:rsidRPr="00A1637D" w:rsidTr="00A1637D">
        <w:trPr>
          <w:trHeight w:val="75"/>
        </w:trPr>
        <w:tc>
          <w:tcPr>
            <w:tcW w:w="0" w:type="auto"/>
            <w:vAlign w:val="center"/>
            <w:hideMark/>
          </w:tcPr>
          <w:p w:rsidR="00A1637D" w:rsidRPr="00A1637D" w:rsidRDefault="00A1637D" w:rsidP="00A1637D">
            <w:pPr>
              <w:spacing w:after="0" w:line="240" w:lineRule="auto"/>
              <w:jc w:val="center"/>
              <w:rPr>
                <w:rFonts w:ascii="Times New Roman" w:eastAsia="Times New Roman" w:hAnsi="Times New Roman" w:cs="Times New Roman"/>
                <w:b/>
                <w:bCs/>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285"/>
        </w:trPr>
        <w:tc>
          <w:tcPr>
            <w:tcW w:w="0" w:type="auto"/>
            <w:gridSpan w:val="6"/>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Дата приема:</w:t>
            </w:r>
          </w:p>
        </w:tc>
        <w:tc>
          <w:tcPr>
            <w:tcW w:w="0" w:type="auto"/>
            <w:gridSpan w:val="6"/>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07.09.2026</w:t>
            </w:r>
          </w:p>
        </w:tc>
        <w:tc>
          <w:tcPr>
            <w:tcW w:w="0" w:type="auto"/>
            <w:gridSpan w:val="3"/>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Время: </w:t>
            </w:r>
          </w:p>
        </w:tc>
        <w:tc>
          <w:tcPr>
            <w:tcW w:w="0" w:type="auto"/>
            <w:gridSpan w:val="23"/>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09:13</w:t>
            </w:r>
          </w:p>
        </w:tc>
      </w:tr>
      <w:tr w:rsidR="00A1637D" w:rsidRPr="00A1637D" w:rsidTr="00A1637D">
        <w:trPr>
          <w:trHeight w:val="405"/>
        </w:trPr>
        <w:tc>
          <w:tcPr>
            <w:tcW w:w="0" w:type="auto"/>
            <w:gridSpan w:val="6"/>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ФИО пациента:</w:t>
            </w:r>
          </w:p>
        </w:tc>
        <w:tc>
          <w:tcPr>
            <w:tcW w:w="0" w:type="auto"/>
            <w:gridSpan w:val="32"/>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405"/>
        </w:trPr>
        <w:tc>
          <w:tcPr>
            <w:tcW w:w="0" w:type="auto"/>
            <w:gridSpan w:val="6"/>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Дата рождения:</w:t>
            </w:r>
          </w:p>
        </w:tc>
        <w:tc>
          <w:tcPr>
            <w:tcW w:w="0" w:type="auto"/>
            <w:gridSpan w:val="6"/>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05.05.1983</w:t>
            </w:r>
          </w:p>
        </w:tc>
        <w:tc>
          <w:tcPr>
            <w:tcW w:w="0" w:type="auto"/>
            <w:gridSpan w:val="11"/>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Возраст на момент осмотра:</w:t>
            </w:r>
          </w:p>
        </w:tc>
        <w:tc>
          <w:tcPr>
            <w:tcW w:w="0" w:type="auto"/>
            <w:gridSpan w:val="2"/>
            <w:vAlign w:val="center"/>
            <w:hideMark/>
          </w:tcPr>
          <w:p w:rsidR="00A1637D" w:rsidRPr="00A1637D" w:rsidRDefault="00A1637D" w:rsidP="00A1637D">
            <w:pPr>
              <w:spacing w:after="0" w:line="240" w:lineRule="auto"/>
              <w:jc w:val="right"/>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43</w:t>
            </w:r>
          </w:p>
        </w:tc>
        <w:tc>
          <w:tcPr>
            <w:tcW w:w="0" w:type="auto"/>
            <w:vAlign w:val="center"/>
            <w:hideMark/>
          </w:tcPr>
          <w:p w:rsidR="00A1637D" w:rsidRPr="00A1637D" w:rsidRDefault="00A1637D" w:rsidP="00A1637D">
            <w:pPr>
              <w:spacing w:after="0" w:line="240" w:lineRule="auto"/>
              <w:jc w:val="right"/>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gridSpan w:val="10"/>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ИДС получено.</w:t>
            </w:r>
          </w:p>
        </w:tc>
      </w:tr>
      <w:tr w:rsidR="00A1637D" w:rsidRPr="00A1637D" w:rsidTr="00A1637D">
        <w:trPr>
          <w:trHeight w:val="405"/>
        </w:trPr>
        <w:tc>
          <w:tcPr>
            <w:tcW w:w="0" w:type="auto"/>
            <w:gridSpan w:val="6"/>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Врач: </w:t>
            </w:r>
          </w:p>
        </w:tc>
        <w:tc>
          <w:tcPr>
            <w:tcW w:w="0" w:type="auto"/>
            <w:gridSpan w:val="32"/>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Евгений Моисеевич</w:t>
            </w:r>
          </w:p>
        </w:tc>
      </w:tr>
      <w:tr w:rsidR="00A1637D" w:rsidRPr="00A1637D" w:rsidTr="00A1637D">
        <w:trPr>
          <w:trHeight w:val="90"/>
        </w:trPr>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c>
          <w:tcPr>
            <w:tcW w:w="0" w:type="auto"/>
            <w:vAlign w:val="center"/>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40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b/>
                <w:bCs/>
                <w:sz w:val="20"/>
                <w:szCs w:val="20"/>
                <w:lang w:eastAsia="ru-RU"/>
              </w:rPr>
            </w:pPr>
            <w:r w:rsidRPr="00A1637D">
              <w:rPr>
                <w:rFonts w:ascii="Times New Roman" w:eastAsia="Times New Roman" w:hAnsi="Times New Roman" w:cs="Times New Roman"/>
                <w:b/>
                <w:bCs/>
                <w:sz w:val="20"/>
                <w:szCs w:val="20"/>
                <w:lang w:eastAsia="ru-RU"/>
              </w:rPr>
              <w:t>Описание</w:t>
            </w:r>
          </w:p>
        </w:tc>
      </w:tr>
      <w:tr w:rsidR="00A1637D" w:rsidRPr="00A1637D" w:rsidTr="00A1637D">
        <w:trPr>
          <w:trHeight w:val="40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Ультразвуковой сканер: VINNO G55</w:t>
            </w:r>
          </w:p>
        </w:tc>
      </w:tr>
      <w:tr w:rsidR="00A1637D" w:rsidRPr="00A1637D" w:rsidTr="00A1637D">
        <w:trPr>
          <w:trHeight w:val="40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Используемые датчики: D3-6C – конвексный</w:t>
            </w:r>
          </w:p>
        </w:tc>
      </w:tr>
      <w:tr w:rsidR="00A1637D" w:rsidRPr="00A1637D" w:rsidTr="00A1637D">
        <w:trPr>
          <w:trHeight w:val="40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184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ПЕЧЕНЬ: Размеры долей не увеличены: передне-задний размер правой доли 141 мм, косо-вертикальный размер правой доли 160 мм, передне-задний размер левой доли 83,5 мм. Контуры четкие, ровные. Рисунок внутрипеченочных структур дифференцирован хорошо. Фрагменты внутрипеченочных желчных протоков не дилатированы. Портальная вена шириной 11 мм (не расширена). Эхоструктура паренхимы диффузно неоднородная, эхогенность повышенная (по сравнению с эхогенностью коркового вещества почки). Очаговых изменений не выявлено.</w:t>
            </w:r>
          </w:p>
        </w:tc>
      </w:tr>
      <w:tr w:rsidR="00A1637D" w:rsidRPr="00A1637D" w:rsidTr="00A1637D">
        <w:trPr>
          <w:trHeight w:val="40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64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ЖЕЛЧНЫЙ ПУЗЫРЬ: не визуализируется (удален). В проекции ложа желчного пузыря эхокартина без особенностей. Общий желчный проток 3,5 мм (не расширен).</w:t>
            </w:r>
          </w:p>
        </w:tc>
      </w:tr>
      <w:tr w:rsidR="00A1637D" w:rsidRPr="00A1637D" w:rsidTr="00A1637D">
        <w:trPr>
          <w:trHeight w:val="40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94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ПОДЖЕЛУДОЧНАЯ ЖЕЛЕЗА: Форма обычная. Размеры не увеличены: головка 27,5 мм, тело 18,5 мм, хвост 24,5 мм. Контуры ровные, четкие. Эхогенность повышенная, эхоструктура диффузно неоднородная. Капсула железы не утолщена. Вирсунгов проток не расширен</w:t>
            </w:r>
          </w:p>
        </w:tc>
      </w:tr>
      <w:tr w:rsidR="00A1637D" w:rsidRPr="00A1637D" w:rsidTr="00A1637D">
        <w:trPr>
          <w:trHeight w:val="40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40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94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ЗАКЛЮЧЕНИЕ: Эхопризнаки гепатомегалии и диффузных изменений паренхимы печени по типу жировой инифильтрации, диффузных изменений паренхимы поджелудочной железы. УЗ-картина состояния после холецистэктомии.</w:t>
            </w:r>
          </w:p>
        </w:tc>
      </w:tr>
      <w:tr w:rsidR="00A1637D" w:rsidRPr="00A1637D" w:rsidTr="00A1637D">
        <w:trPr>
          <w:trHeight w:val="40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p>
        </w:tc>
      </w:tr>
      <w:tr w:rsidR="00A1637D" w:rsidRPr="00A1637D" w:rsidTr="00A1637D">
        <w:trPr>
          <w:trHeight w:val="405"/>
        </w:trPr>
        <w:tc>
          <w:tcPr>
            <w:tcW w:w="0" w:type="auto"/>
            <w:gridSpan w:val="38"/>
            <w:hideMark/>
          </w:tcPr>
          <w:p w:rsidR="00A1637D" w:rsidRPr="00A1637D" w:rsidRDefault="00A1637D" w:rsidP="00A1637D">
            <w:pPr>
              <w:spacing w:after="0" w:line="240" w:lineRule="auto"/>
              <w:rPr>
                <w:rFonts w:ascii="Times New Roman" w:eastAsia="Times New Roman" w:hAnsi="Times New Roman" w:cs="Times New Roman"/>
                <w:sz w:val="20"/>
                <w:szCs w:val="20"/>
                <w:lang w:eastAsia="ru-RU"/>
              </w:rPr>
            </w:pPr>
            <w:r w:rsidRPr="00A1637D">
              <w:rPr>
                <w:rFonts w:ascii="Times New Roman" w:eastAsia="Times New Roman" w:hAnsi="Times New Roman" w:cs="Times New Roman"/>
                <w:sz w:val="20"/>
                <w:szCs w:val="20"/>
                <w:lang w:eastAsia="ru-RU"/>
              </w:rPr>
              <w:t>Заключение ультразвукового исследования не является диагнозом и требует интерпретации лечащим врачом.</w:t>
            </w:r>
          </w:p>
        </w:tc>
      </w:tr>
    </w:tbl>
    <w:p w:rsidR="00B5565F" w:rsidRDefault="00B5565F"/>
    <w:sectPr w:rsidR="00B556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AA6"/>
    <w:rsid w:val="008F0AA6"/>
    <w:rsid w:val="00A1637D"/>
    <w:rsid w:val="00B5565F"/>
    <w:rsid w:val="00D43B6E"/>
    <w:rsid w:val="00FE3E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A8E778-E7AD-4B8A-AD5C-0351EB974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5083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Прилипко Антон Михайлович</dc:creator>
  <cp:keywords/>
  <dc:description/>
  <cp:lastModifiedBy>Прилипко Антон Михайлович</cp:lastModifiedBy>
  <cp:revision>4</cp:revision>
  <dcterms:created xsi:type="dcterms:W3CDTF">2026-09-08T13:20:00Z</dcterms:created>
  <dcterms:modified xsi:type="dcterms:W3CDTF">2026-10-02T11:08:00Z</dcterms:modified>
</cp:coreProperties>
</file>