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392"/>
        <w:gridCol w:w="392"/>
        <w:gridCol w:w="392"/>
        <w:gridCol w:w="392"/>
        <w:gridCol w:w="392"/>
        <w:gridCol w:w="392"/>
        <w:gridCol w:w="392"/>
        <w:gridCol w:w="391"/>
        <w:gridCol w:w="163"/>
        <w:gridCol w:w="163"/>
        <w:gridCol w:w="163"/>
        <w:gridCol w:w="374"/>
        <w:gridCol w:w="374"/>
        <w:gridCol w:w="374"/>
        <w:gridCol w:w="225"/>
        <w:gridCol w:w="225"/>
        <w:gridCol w:w="225"/>
        <w:gridCol w:w="225"/>
        <w:gridCol w:w="225"/>
        <w:gridCol w:w="225"/>
        <w:gridCol w:w="225"/>
        <w:gridCol w:w="225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36"/>
      </w:tblGrid>
      <w:tr w:rsidR="00175DA0" w:rsidRPr="00175DA0" w:rsidTr="005D21E4">
        <w:trPr>
          <w:trHeight w:val="405"/>
        </w:trPr>
        <w:tc>
          <w:tcPr>
            <w:tcW w:w="0" w:type="auto"/>
            <w:gridSpan w:val="36"/>
            <w:vAlign w:val="bottom"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5D21E4">
        <w:trPr>
          <w:trHeight w:val="405"/>
        </w:trPr>
        <w:tc>
          <w:tcPr>
            <w:tcW w:w="0" w:type="auto"/>
            <w:gridSpan w:val="36"/>
            <w:vAlign w:val="bottom"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5D21E4">
        <w:trPr>
          <w:trHeight w:val="405"/>
        </w:trPr>
        <w:tc>
          <w:tcPr>
            <w:tcW w:w="0" w:type="auto"/>
            <w:gridSpan w:val="36"/>
            <w:vAlign w:val="bottom"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5D21E4">
        <w:trPr>
          <w:trHeight w:val="405"/>
        </w:trPr>
        <w:tc>
          <w:tcPr>
            <w:tcW w:w="0" w:type="auto"/>
            <w:gridSpan w:val="36"/>
            <w:vAlign w:val="bottom"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5D21E4">
        <w:trPr>
          <w:trHeight w:val="405"/>
        </w:trPr>
        <w:tc>
          <w:tcPr>
            <w:tcW w:w="0" w:type="auto"/>
            <w:gridSpan w:val="36"/>
            <w:vAlign w:val="bottom"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5D21E4">
        <w:trPr>
          <w:trHeight w:val="405"/>
        </w:trPr>
        <w:tc>
          <w:tcPr>
            <w:tcW w:w="0" w:type="auto"/>
            <w:gridSpan w:val="36"/>
            <w:vAlign w:val="bottom"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16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175DA0" w:rsidRPr="00175DA0" w:rsidRDefault="000E53FF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E53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  <w:bookmarkStart w:id="0" w:name="_GoBack"/>
            <w:bookmarkEnd w:id="0"/>
            <w:r w:rsidRPr="000E53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8"/>
            <w:hideMark/>
          </w:tcPr>
          <w:p w:rsidR="00175DA0" w:rsidRPr="00175DA0" w:rsidRDefault="00175DA0" w:rsidP="001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Протокол ультразвукового исследования органов брюшной полости</w:t>
            </w: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10:51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0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15.01.2006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13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 лет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0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Ирина Олеговна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210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Ультразвуковая дигностическая система: </w:t>
            </w:r>
          </w:p>
        </w:tc>
        <w:tc>
          <w:tcPr>
            <w:tcW w:w="0" w:type="auto"/>
            <w:gridSpan w:val="1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SIMENS Redwood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13"/>
            <w:vAlign w:val="bottom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Дополнительно используемые датчики: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5С1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ПЕЧЕНЬ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175DA0" w:rsidRPr="00175DA0" w:rsidTr="00175DA0">
        <w:trPr>
          <w:trHeight w:val="675"/>
        </w:trPr>
        <w:tc>
          <w:tcPr>
            <w:tcW w:w="0" w:type="auto"/>
            <w:gridSpan w:val="37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Размеры: в пределах нормы. Правая доля: КВР 125 мм. Левая доля: передне-задний размер 53 мм. Структура паренхимы: однородная. Эхогенность: не изменена. Объемные образования: не выявлены.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675"/>
        </w:trPr>
        <w:tc>
          <w:tcPr>
            <w:tcW w:w="0" w:type="auto"/>
            <w:gridSpan w:val="9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Внутрипеченочные</w:t>
            </w: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желчные протоки: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не расширены.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22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675"/>
        </w:trPr>
        <w:tc>
          <w:tcPr>
            <w:tcW w:w="0" w:type="auto"/>
            <w:gridSpan w:val="9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 желчный </w:t>
            </w: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проток: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4 мм.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22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675"/>
        </w:trPr>
        <w:tc>
          <w:tcPr>
            <w:tcW w:w="0" w:type="auto"/>
            <w:gridSpan w:val="9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Сосудистый рисунок </w:t>
            </w: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печени: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не изменен.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22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675"/>
        </w:trPr>
        <w:tc>
          <w:tcPr>
            <w:tcW w:w="0" w:type="auto"/>
            <w:gridSpan w:val="9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Воротная вена: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не расширена, 7 мм, направление кровотока гепатопетальное, просвет анэхогенный однородный.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22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9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Печеночные вены: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не расширены. </w:t>
            </w:r>
          </w:p>
        </w:tc>
      </w:tr>
      <w:tr w:rsidR="00175DA0" w:rsidRPr="00175DA0" w:rsidTr="00175DA0">
        <w:trPr>
          <w:trHeight w:val="22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9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Нижняя полая вена: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не расширена, 10 мм, просвет анэхогенный однородный.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22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ЖЕЛЧНЫЙ ПУЗЫРЬ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175DA0" w:rsidRPr="00175DA0" w:rsidTr="00175DA0">
        <w:trPr>
          <w:trHeight w:val="990"/>
        </w:trPr>
        <w:tc>
          <w:tcPr>
            <w:tcW w:w="0" w:type="auto"/>
            <w:gridSpan w:val="37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Форма изменена, перегиб в шейке. Размеры не изменены. Длинник 68 мм, поперечник 15 мм. Содержимое однородное. Конкременты не выявлены. Стенки не утолщены, толщина 2 мм. Структура стенки не изменена. Образования не выявлены.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ПОДЖЕЛУДОЧНАЯ ЖЕЛЕЗА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175DA0" w:rsidRPr="00175DA0" w:rsidTr="00175DA0">
        <w:trPr>
          <w:trHeight w:val="990"/>
        </w:trPr>
        <w:tc>
          <w:tcPr>
            <w:tcW w:w="0" w:type="auto"/>
            <w:gridSpan w:val="37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Размеры в пределах нормы. Головка 15 мм, тело 8 мм, хвост 14 мм. Контуры ровные. Структура паренхимы однородная. Эхогенность не изменена. Панкреатический проток не расширен, диаметр 1 мм. Образования не выявлены.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СЕЛЕЗЕНКА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175DA0" w:rsidRPr="00175DA0" w:rsidTr="00175DA0">
        <w:trPr>
          <w:trHeight w:val="990"/>
        </w:trPr>
        <w:tc>
          <w:tcPr>
            <w:tcW w:w="0" w:type="auto"/>
            <w:gridSpan w:val="37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Размеры в пределах нормы. Длинник 83 мм, поперечник 33 мм, Контуры ровные. Структура паренхимы однородная. Эхогенность не изменена. Образования не выявлены. Селезеночная вена не расширена, 5 мм.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175DA0" w:rsidRPr="00175DA0" w:rsidTr="00175DA0">
        <w:trPr>
          <w:trHeight w:val="675"/>
        </w:trPr>
        <w:tc>
          <w:tcPr>
            <w:tcW w:w="0" w:type="auto"/>
            <w:gridSpan w:val="37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Лимфатические узлы в брюшной полости и забрюшинном пространстве: не выявлены. Брюшная аорта не расширена, диаметр 12 мм. Свободная жидкость не выявлена.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195"/>
        </w:trPr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7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lang w:eastAsia="ru-RU"/>
              </w:rPr>
              <w:t xml:space="preserve">УЗ-признаки перегиба жечного пузыря в области шейки 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5DA0" w:rsidRPr="00175DA0" w:rsidTr="00175DA0">
        <w:trPr>
          <w:trHeight w:val="165"/>
        </w:trPr>
        <w:tc>
          <w:tcPr>
            <w:tcW w:w="0" w:type="auto"/>
            <w:gridSpan w:val="3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75DA0" w:rsidRPr="00175DA0" w:rsidTr="00175DA0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75DA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Результаты УЗИ не являются диагнозом. Для интерпретации результатов необходимо обратиться к лечащему врачу</w:t>
            </w: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75DA0" w:rsidRPr="00175DA0" w:rsidRDefault="00175DA0" w:rsidP="001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2C7"/>
    <w:rsid w:val="000E53FF"/>
    <w:rsid w:val="00175DA0"/>
    <w:rsid w:val="005D21E4"/>
    <w:rsid w:val="006902C7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22EA3D-FEAA-4198-B0F4-C8081045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2026-09-08T13:29:00Z</dcterms:created>
  <dcterms:modified xsi:type="dcterms:W3CDTF">2026-10-02T11:11:00Z</dcterms:modified>
</cp:coreProperties>
</file>