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D8D5C" w14:textId="51D71358" w:rsidR="009A0F44" w:rsidRPr="00630FD6" w:rsidRDefault="009A0F44" w:rsidP="00630FD6">
      <w:pPr>
        <w:pStyle w:val="Title"/>
        <w:jc w:val="center"/>
        <w:rPr>
          <w:sz w:val="40"/>
          <w:szCs w:val="40"/>
        </w:rPr>
      </w:pPr>
      <w:r w:rsidRPr="00630FD6">
        <w:rPr>
          <w:sz w:val="40"/>
          <w:szCs w:val="40"/>
        </w:rPr>
        <w:t>The Current Legal Framework for Regulating Artificial Intelligence in the U.S.: Navigating Regulatory Challenges Amid the End of</w:t>
      </w:r>
      <w:r w:rsidR="00630FD6">
        <w:rPr>
          <w:sz w:val="40"/>
          <w:szCs w:val="40"/>
        </w:rPr>
        <w:t xml:space="preserve"> </w:t>
      </w:r>
      <w:r w:rsidRPr="00630FD6">
        <w:rPr>
          <w:sz w:val="40"/>
          <w:szCs w:val="40"/>
        </w:rPr>
        <w:t>Chevron Deference</w:t>
      </w:r>
    </w:p>
    <w:p w14:paraId="3ACD7F4E" w14:textId="77777777" w:rsidR="00D556F7" w:rsidRPr="009A0F44" w:rsidRDefault="00D556F7" w:rsidP="009A0F44">
      <w:pPr>
        <w:rPr>
          <w:rFonts w:ascii="Bahnschrift Condensed" w:hAnsi="Bahnschrift Condensed"/>
          <w:sz w:val="40"/>
          <w:szCs w:val="40"/>
        </w:rPr>
      </w:pPr>
    </w:p>
    <w:p w14:paraId="3F94C256" w14:textId="2F630E90" w:rsidR="009A0F44" w:rsidRPr="00930BAE" w:rsidRDefault="009A0F44" w:rsidP="00B91579">
      <w:pPr>
        <w:pStyle w:val="Heading3"/>
      </w:pPr>
      <w:r w:rsidRPr="00930BAE">
        <w:t>I</w:t>
      </w:r>
      <w:hyperlink w:anchor="Introduction" w:history="1">
        <w:r w:rsidRPr="00930BAE">
          <w:rPr>
            <w:rStyle w:val="Hyperlink"/>
            <w:u w:val="none"/>
          </w:rPr>
          <w:t>. Introduction</w:t>
        </w:r>
      </w:hyperlink>
    </w:p>
    <w:p w14:paraId="48F034C2" w14:textId="1B3D8893" w:rsidR="009A0F44" w:rsidRPr="009A0F44" w:rsidRDefault="009A0F44" w:rsidP="00930BAE">
      <w:pPr>
        <w:pStyle w:val="ListParagraph"/>
        <w:numPr>
          <w:ilvl w:val="0"/>
          <w:numId w:val="1"/>
        </w:numPr>
      </w:pPr>
      <w:r w:rsidRPr="009A0F44">
        <w:t>Contextual background on the rapid evolution of AI and its regulatory implications.</w:t>
      </w:r>
    </w:p>
    <w:p w14:paraId="4224D64F" w14:textId="77777777" w:rsidR="009A0F44" w:rsidRPr="009A0F44" w:rsidRDefault="009A0F44" w:rsidP="009A0F44">
      <w:pPr>
        <w:numPr>
          <w:ilvl w:val="0"/>
          <w:numId w:val="1"/>
        </w:numPr>
      </w:pPr>
      <w:r w:rsidRPr="009A0F44">
        <w:t>Significance of the Loper Bright Enterprises v. Raimondo case and the end of Chevron Deference.</w:t>
      </w:r>
    </w:p>
    <w:p w14:paraId="1A3E7AC1" w14:textId="77777777" w:rsidR="009A0F44" w:rsidRPr="009A0F44" w:rsidRDefault="009A0F44" w:rsidP="009A0F44">
      <w:pPr>
        <w:numPr>
          <w:ilvl w:val="0"/>
          <w:numId w:val="1"/>
        </w:numPr>
      </w:pPr>
      <w:r w:rsidRPr="009A0F44">
        <w:t>Purpose: To analyze the existing frameworks, industry positions, and the challenges in creating effective regulation.</w:t>
      </w:r>
    </w:p>
    <w:p w14:paraId="69F800B9" w14:textId="1D6183A1" w:rsidR="009A0F44" w:rsidRPr="00930BAE" w:rsidRDefault="009A0F44" w:rsidP="00D556F7">
      <w:r w:rsidRPr="00930BAE">
        <w:t xml:space="preserve">II. </w:t>
      </w:r>
      <w:hyperlink w:anchor="Regulatory_Opposition" w:history="1">
        <w:r w:rsidRPr="00930BAE">
          <w:rPr>
            <w:rStyle w:val="Hyperlink"/>
            <w:rFonts w:eastAsiaTheme="majorEastAsia" w:cstheme="majorBidi"/>
            <w:sz w:val="28"/>
            <w:szCs w:val="28"/>
            <w:u w:val="none"/>
          </w:rPr>
          <w:t>Regulatory Opposition</w:t>
        </w:r>
      </w:hyperlink>
    </w:p>
    <w:p w14:paraId="6A40A567" w14:textId="3240EB60" w:rsidR="009A0F44" w:rsidRPr="009A0F44" w:rsidRDefault="009A0F44" w:rsidP="00930BAE">
      <w:pPr>
        <w:pStyle w:val="ListParagraph"/>
        <w:numPr>
          <w:ilvl w:val="0"/>
          <w:numId w:val="2"/>
        </w:numPr>
      </w:pPr>
      <w:r w:rsidRPr="009A0F44">
        <w:t>Overview of major tech companies’ positions (Google, Meta, Microsoft).</w:t>
      </w:r>
    </w:p>
    <w:p w14:paraId="4D164559" w14:textId="77777777" w:rsidR="009A0F44" w:rsidRPr="009A0F44" w:rsidRDefault="009A0F44" w:rsidP="009A0F44">
      <w:pPr>
        <w:numPr>
          <w:ilvl w:val="1"/>
          <w:numId w:val="2"/>
        </w:numPr>
      </w:pPr>
      <w:r w:rsidRPr="009A0F44">
        <w:rPr>
          <w:b/>
          <w:bCs/>
        </w:rPr>
        <w:t>Google (Alphabet)</w:t>
      </w:r>
      <w:r w:rsidRPr="009A0F44">
        <w:t>: Emphasis on balanced regulation; self-regulation as part of the solution; Sundar Pichai's stance.</w:t>
      </w:r>
    </w:p>
    <w:p w14:paraId="6A6F3482" w14:textId="77777777" w:rsidR="009A0F44" w:rsidRPr="009A0F44" w:rsidRDefault="009A0F44" w:rsidP="009A0F44">
      <w:pPr>
        <w:numPr>
          <w:ilvl w:val="1"/>
          <w:numId w:val="2"/>
        </w:numPr>
      </w:pPr>
      <w:r w:rsidRPr="009A0F44">
        <w:rPr>
          <w:b/>
          <w:bCs/>
        </w:rPr>
        <w:t>Meta (Facebook)</w:t>
      </w:r>
      <w:r w:rsidRPr="009A0F44">
        <w:t>: Collaborative regulation and the need for global standards; Mark Zuckerberg’s views.</w:t>
      </w:r>
    </w:p>
    <w:p w14:paraId="473E3C83" w14:textId="77777777" w:rsidR="009A0F44" w:rsidRPr="009A0F44" w:rsidRDefault="009A0F44" w:rsidP="009A0F44">
      <w:pPr>
        <w:numPr>
          <w:ilvl w:val="1"/>
          <w:numId w:val="2"/>
        </w:numPr>
      </w:pPr>
      <w:r w:rsidRPr="009A0F44">
        <w:rPr>
          <w:b/>
          <w:bCs/>
        </w:rPr>
        <w:t>Microsoft</w:t>
      </w:r>
      <w:r w:rsidRPr="009A0F44">
        <w:t>: Advocacy for ethical AI; Brad Smith’s call for targeted government regulation and oversight.</w:t>
      </w:r>
    </w:p>
    <w:p w14:paraId="39A44CE6" w14:textId="2F049AC6" w:rsidR="009A0F44" w:rsidRPr="009A0F44" w:rsidRDefault="009A0F44" w:rsidP="009A0F44">
      <w:pPr>
        <w:rPr>
          <w:rStyle w:val="Heading3Char"/>
        </w:rPr>
      </w:pPr>
      <w:r w:rsidRPr="009A0F44">
        <w:rPr>
          <w:b/>
          <w:bCs/>
        </w:rPr>
        <w:t>III</w:t>
      </w:r>
      <w:r w:rsidRPr="009A0F44">
        <w:rPr>
          <w:rStyle w:val="Heading3Char"/>
        </w:rPr>
        <w:t xml:space="preserve">. </w:t>
      </w:r>
      <w:hyperlink w:anchor="Summary_of_Industry_Positions" w:history="1">
        <w:r w:rsidRPr="009A0F44">
          <w:rPr>
            <w:rStyle w:val="Hyperlink"/>
            <w:rFonts w:eastAsiaTheme="majorEastAsia" w:cstheme="majorBidi"/>
            <w:sz w:val="28"/>
            <w:szCs w:val="28"/>
            <w:u w:val="none"/>
          </w:rPr>
          <w:t>Summary of Industry Positions</w:t>
        </w:r>
      </w:hyperlink>
    </w:p>
    <w:p w14:paraId="6F26EF30" w14:textId="025340C6" w:rsidR="009A0F44" w:rsidRPr="009A0F44" w:rsidRDefault="009A0F44" w:rsidP="00930BAE">
      <w:pPr>
        <w:pStyle w:val="ListParagraph"/>
        <w:numPr>
          <w:ilvl w:val="0"/>
          <w:numId w:val="3"/>
        </w:numPr>
      </w:pPr>
      <w:r w:rsidRPr="009A0F44">
        <w:t xml:space="preserve">Key themes from tech giants </w:t>
      </w:r>
      <w:proofErr w:type="gramStart"/>
      <w:r w:rsidRPr="009A0F44">
        <w:t>advocating for</w:t>
      </w:r>
      <w:proofErr w:type="gramEnd"/>
      <w:r w:rsidRPr="009A0F44">
        <w:t xml:space="preserve"> targeted, sector-specific regulation.</w:t>
      </w:r>
    </w:p>
    <w:p w14:paraId="43B30A42" w14:textId="77777777" w:rsidR="009A0F44" w:rsidRPr="009A0F44" w:rsidRDefault="009A0F44" w:rsidP="009A0F44">
      <w:pPr>
        <w:numPr>
          <w:ilvl w:val="0"/>
          <w:numId w:val="3"/>
        </w:numPr>
      </w:pPr>
      <w:r w:rsidRPr="009A0F44">
        <w:t>Arguments for industry-led standards with minimal external oversight.</w:t>
      </w:r>
    </w:p>
    <w:p w14:paraId="469D6FB3" w14:textId="1BD12F2C" w:rsidR="009A0F44" w:rsidRPr="009A0F44" w:rsidRDefault="009A0F44" w:rsidP="009A0F44">
      <w:r w:rsidRPr="009A0F44">
        <w:rPr>
          <w:b/>
          <w:bCs/>
        </w:rPr>
        <w:t xml:space="preserve">IV. </w:t>
      </w:r>
      <w:hyperlink w:anchor="Proponents_of_AI_Regulation" w:history="1">
        <w:r w:rsidRPr="009A0F44">
          <w:rPr>
            <w:rStyle w:val="Hyperlink"/>
            <w:rFonts w:eastAsiaTheme="majorEastAsia" w:cstheme="majorBidi"/>
            <w:sz w:val="28"/>
            <w:szCs w:val="28"/>
            <w:u w:val="none"/>
          </w:rPr>
          <w:t>Proponents of AI Regulation</w:t>
        </w:r>
      </w:hyperlink>
    </w:p>
    <w:p w14:paraId="20D30B2F" w14:textId="471C68E7" w:rsidR="009A0F44" w:rsidRPr="009A0F44" w:rsidRDefault="009A0F44" w:rsidP="00930BAE">
      <w:pPr>
        <w:pStyle w:val="ListParagraph"/>
        <w:numPr>
          <w:ilvl w:val="0"/>
          <w:numId w:val="4"/>
        </w:numPr>
      </w:pPr>
      <w:r w:rsidRPr="00930BAE">
        <w:rPr>
          <w:b/>
          <w:bCs/>
        </w:rPr>
        <w:t>OpenAI's Position</w:t>
      </w:r>
      <w:r w:rsidRPr="009A0F44">
        <w:t>: Calls for proactive regulation and the creation of a centralized oversight body; Sam Altman’s testimony and the endorsement of global cooperation.</w:t>
      </w:r>
    </w:p>
    <w:p w14:paraId="5B60C5CA" w14:textId="77777777" w:rsidR="009A0F44" w:rsidRPr="009A0F44" w:rsidRDefault="009A0F44" w:rsidP="009A0F44">
      <w:pPr>
        <w:numPr>
          <w:ilvl w:val="0"/>
          <w:numId w:val="4"/>
        </w:numPr>
      </w:pPr>
      <w:r w:rsidRPr="009A0F44">
        <w:t xml:space="preserve">Perspectives from </w:t>
      </w:r>
      <w:proofErr w:type="gramStart"/>
      <w:r w:rsidRPr="009A0F44">
        <w:t>academics</w:t>
      </w:r>
      <w:proofErr w:type="gramEnd"/>
      <w:r w:rsidRPr="009A0F44">
        <w:t xml:space="preserve"> and civil society on existential risks posed by AI (e.g., Stephen Hawking’s and Elon Musk’s warnings).</w:t>
      </w:r>
    </w:p>
    <w:p w14:paraId="2A90CDAC" w14:textId="40D2DE97" w:rsidR="009A0F44" w:rsidRPr="009A0F44" w:rsidRDefault="009A0F44" w:rsidP="009A0F44">
      <w:pPr>
        <w:rPr>
          <w:rStyle w:val="Heading3Char"/>
        </w:rPr>
      </w:pPr>
      <w:r w:rsidRPr="009A0F44">
        <w:rPr>
          <w:b/>
          <w:bCs/>
        </w:rPr>
        <w:t xml:space="preserve">V. </w:t>
      </w:r>
      <w:hyperlink w:anchor="End_of_Chevron_Deference" w:history="1">
        <w:r w:rsidRPr="009A0F44">
          <w:rPr>
            <w:rStyle w:val="Hyperlink"/>
            <w:rFonts w:eastAsiaTheme="majorEastAsia" w:cstheme="majorBidi"/>
            <w:sz w:val="28"/>
            <w:szCs w:val="28"/>
            <w:u w:val="none"/>
          </w:rPr>
          <w:t xml:space="preserve">The End of </w:t>
        </w:r>
        <w:proofErr w:type="gramStart"/>
        <w:r w:rsidRPr="009A0F44">
          <w:rPr>
            <w:rStyle w:val="Hyperlink"/>
            <w:rFonts w:eastAsiaTheme="majorEastAsia" w:cstheme="majorBidi"/>
            <w:sz w:val="28"/>
            <w:szCs w:val="28"/>
            <w:u w:val="none"/>
          </w:rPr>
          <w:t>Chevron</w:t>
        </w:r>
        <w:proofErr w:type="gramEnd"/>
        <w:r w:rsidRPr="009A0F44">
          <w:rPr>
            <w:rStyle w:val="Hyperlink"/>
            <w:rFonts w:eastAsiaTheme="majorEastAsia" w:cstheme="majorBidi"/>
            <w:sz w:val="28"/>
            <w:szCs w:val="28"/>
            <w:u w:val="none"/>
          </w:rPr>
          <w:t xml:space="preserve"> Deference and Its Im</w:t>
        </w:r>
        <w:r w:rsidRPr="009A0F44">
          <w:rPr>
            <w:rStyle w:val="Hyperlink"/>
            <w:rFonts w:eastAsiaTheme="majorEastAsia" w:cstheme="majorBidi"/>
            <w:sz w:val="28"/>
            <w:szCs w:val="28"/>
            <w:u w:val="none"/>
          </w:rPr>
          <w:t>p</w:t>
        </w:r>
        <w:r w:rsidRPr="009A0F44">
          <w:rPr>
            <w:rStyle w:val="Hyperlink"/>
            <w:rFonts w:eastAsiaTheme="majorEastAsia" w:cstheme="majorBidi"/>
            <w:sz w:val="28"/>
            <w:szCs w:val="28"/>
            <w:u w:val="none"/>
          </w:rPr>
          <w:t>act</w:t>
        </w:r>
      </w:hyperlink>
    </w:p>
    <w:p w14:paraId="102EF98F" w14:textId="4C82A23E" w:rsidR="009A0F44" w:rsidRPr="009A0F44" w:rsidRDefault="009A0F44" w:rsidP="00930BAE">
      <w:pPr>
        <w:pStyle w:val="ListParagraph"/>
        <w:numPr>
          <w:ilvl w:val="0"/>
          <w:numId w:val="5"/>
        </w:numPr>
      </w:pPr>
      <w:proofErr w:type="gramStart"/>
      <w:r w:rsidRPr="009A0F44">
        <w:t>Analysis</w:t>
      </w:r>
      <w:proofErr w:type="gramEnd"/>
      <w:r w:rsidRPr="009A0F44">
        <w:t xml:space="preserve"> of how this Supreme Court decision limits federal agencies' interpretative powers.</w:t>
      </w:r>
    </w:p>
    <w:p w14:paraId="75288DA8" w14:textId="77777777" w:rsidR="009A0F44" w:rsidRPr="009A0F44" w:rsidRDefault="009A0F44" w:rsidP="009A0F44">
      <w:pPr>
        <w:numPr>
          <w:ilvl w:val="0"/>
          <w:numId w:val="5"/>
        </w:numPr>
      </w:pPr>
      <w:r w:rsidRPr="009A0F44">
        <w:t>Challenges posed to regulatory flexibility and enforcement.</w:t>
      </w:r>
    </w:p>
    <w:p w14:paraId="2FCF5467" w14:textId="479750E9" w:rsidR="009A0F44" w:rsidRPr="009A0F44" w:rsidRDefault="009A0F44" w:rsidP="009A0F44">
      <w:r w:rsidRPr="009A0F44">
        <w:rPr>
          <w:b/>
          <w:bCs/>
        </w:rPr>
        <w:lastRenderedPageBreak/>
        <w:t xml:space="preserve">VI. </w:t>
      </w:r>
      <w:hyperlink w:anchor="Current_Legislative_Landscape" w:history="1">
        <w:r w:rsidRPr="009A0F44">
          <w:rPr>
            <w:rStyle w:val="Hyperlink"/>
            <w:rFonts w:eastAsiaTheme="majorEastAsia" w:cstheme="majorBidi"/>
            <w:sz w:val="28"/>
            <w:szCs w:val="28"/>
            <w:u w:val="none"/>
          </w:rPr>
          <w:t>Current Legislative Landscape</w:t>
        </w:r>
      </w:hyperlink>
    </w:p>
    <w:p w14:paraId="3FE5BC53" w14:textId="667CBF2B" w:rsidR="009A0F44" w:rsidRPr="009A0F44" w:rsidRDefault="009A0F44" w:rsidP="00930BAE">
      <w:pPr>
        <w:pStyle w:val="ListParagraph"/>
        <w:numPr>
          <w:ilvl w:val="0"/>
          <w:numId w:val="6"/>
        </w:numPr>
      </w:pPr>
      <w:r w:rsidRPr="009A0F44">
        <w:t>Examination of existing legislative efforts (e.g., Algorithmic Accountability Act).</w:t>
      </w:r>
    </w:p>
    <w:p w14:paraId="6B768BE0" w14:textId="77777777" w:rsidR="009A0F44" w:rsidRPr="009A0F44" w:rsidRDefault="009A0F44" w:rsidP="009A0F44">
      <w:pPr>
        <w:numPr>
          <w:ilvl w:val="0"/>
          <w:numId w:val="6"/>
        </w:numPr>
      </w:pPr>
      <w:r w:rsidRPr="009A0F44">
        <w:t>The struggle between federal and state-level regulations in the context of AI oversight.</w:t>
      </w:r>
    </w:p>
    <w:p w14:paraId="3DE0F468" w14:textId="444B049E" w:rsidR="009A0F44" w:rsidRPr="009A0F44" w:rsidRDefault="009A0F44" w:rsidP="009A0F44">
      <w:r w:rsidRPr="009A0F44">
        <w:rPr>
          <w:b/>
          <w:bCs/>
        </w:rPr>
        <w:t>VII</w:t>
      </w:r>
      <w:r w:rsidRPr="009A0F44">
        <w:rPr>
          <w:rStyle w:val="Heading3Char"/>
        </w:rPr>
        <w:t xml:space="preserve">. </w:t>
      </w:r>
      <w:hyperlink w:anchor="Solutions_and_Recommendations" w:history="1">
        <w:r w:rsidRPr="009A0F44">
          <w:rPr>
            <w:rStyle w:val="Hyperlink"/>
            <w:rFonts w:eastAsiaTheme="majorEastAsia" w:cstheme="majorBidi"/>
            <w:sz w:val="28"/>
            <w:szCs w:val="28"/>
            <w:u w:val="none"/>
          </w:rPr>
          <w:t>Solutions and Recommendations</w:t>
        </w:r>
      </w:hyperlink>
    </w:p>
    <w:p w14:paraId="7A0D0023" w14:textId="4B11117D" w:rsidR="009A0F44" w:rsidRPr="009A0F44" w:rsidRDefault="009A0F44" w:rsidP="00930BAE">
      <w:pPr>
        <w:pStyle w:val="ListParagraph"/>
        <w:numPr>
          <w:ilvl w:val="0"/>
          <w:numId w:val="7"/>
        </w:numPr>
      </w:pPr>
      <w:r w:rsidRPr="009A0F44">
        <w:t>Proposals for independent oversight and the establishment of a centralized regulatory body.</w:t>
      </w:r>
    </w:p>
    <w:p w14:paraId="5FCB2E0F" w14:textId="77777777" w:rsidR="009A0F44" w:rsidRPr="009A0F44" w:rsidRDefault="009A0F44" w:rsidP="009A0F44">
      <w:pPr>
        <w:numPr>
          <w:ilvl w:val="0"/>
          <w:numId w:val="7"/>
        </w:numPr>
      </w:pPr>
      <w:r w:rsidRPr="009A0F44">
        <w:t>The importance of adaptable regulation and aligning U.S. strategies with global ethical standards.</w:t>
      </w:r>
    </w:p>
    <w:p w14:paraId="216CF705" w14:textId="77777777" w:rsidR="00930BAE" w:rsidRDefault="009A0F44" w:rsidP="00930BAE">
      <w:r w:rsidRPr="009A0F44">
        <w:rPr>
          <w:b/>
          <w:bCs/>
        </w:rPr>
        <w:t>VIII.</w:t>
      </w:r>
      <w:r w:rsidRPr="009A0F44">
        <w:rPr>
          <w:rStyle w:val="Heading3Char"/>
        </w:rPr>
        <w:t xml:space="preserve"> </w:t>
      </w:r>
      <w:hyperlink w:anchor="Conclusion" w:history="1">
        <w:r w:rsidRPr="009A0F44">
          <w:rPr>
            <w:rStyle w:val="Hyperlink"/>
            <w:rFonts w:eastAsiaTheme="majorEastAsia" w:cstheme="majorBidi"/>
            <w:sz w:val="28"/>
            <w:szCs w:val="28"/>
            <w:u w:val="none"/>
          </w:rPr>
          <w:t>Conclusion</w:t>
        </w:r>
      </w:hyperlink>
    </w:p>
    <w:p w14:paraId="365420BB" w14:textId="0542CD35" w:rsidR="009A0F44" w:rsidRPr="009A0F44" w:rsidRDefault="00930BAE" w:rsidP="00930BAE">
      <w:r>
        <w:t xml:space="preserve">       a.  </w:t>
      </w:r>
      <w:r w:rsidR="009A0F44" w:rsidRPr="009A0F44">
        <w:t xml:space="preserve">Recap of regulatory challenges, industry and academic perspectives, and the potential paths </w:t>
      </w:r>
      <w:r>
        <w:t xml:space="preserve">       </w:t>
      </w:r>
      <w:r w:rsidR="009A0F44" w:rsidRPr="009A0F44">
        <w:t>forward for AI regulation.</w:t>
      </w:r>
    </w:p>
    <w:p w14:paraId="0A7F55A9" w14:textId="46EE66D5" w:rsidR="009A0F44" w:rsidRPr="009A0F44" w:rsidRDefault="009A0F44" w:rsidP="009A0F44">
      <w:r>
        <w:br/>
      </w:r>
    </w:p>
    <w:p w14:paraId="5205F6EE" w14:textId="77777777" w:rsidR="009A0F44" w:rsidRPr="009A0F44" w:rsidRDefault="009A0F44" w:rsidP="009A0F44">
      <w:r w:rsidRPr="009A0F44">
        <w:pict w14:anchorId="1C91FEF5">
          <v:rect id="_x0000_i1031" style="width:0;height:1.5pt" o:hralign="center" o:hrstd="t" o:hr="t" fillcolor="#a0a0a0" stroked="f"/>
        </w:pict>
      </w:r>
    </w:p>
    <w:p w14:paraId="49DEEDB0" w14:textId="77777777" w:rsidR="009A0F44" w:rsidRPr="009A0F44" w:rsidRDefault="009A0F44" w:rsidP="00D556F7">
      <w:pPr>
        <w:pStyle w:val="Heading1"/>
      </w:pPr>
      <w:r w:rsidRPr="009A0F44">
        <w:t>I.</w:t>
      </w:r>
      <w:bookmarkStart w:id="0" w:name="Introduction"/>
      <w:r w:rsidRPr="009A0F44">
        <w:t xml:space="preserve"> Introduction</w:t>
      </w:r>
      <w:bookmarkEnd w:id="0"/>
    </w:p>
    <w:p w14:paraId="085161FE" w14:textId="77777777" w:rsidR="009A0F44" w:rsidRPr="009A0F44" w:rsidRDefault="009A0F44" w:rsidP="009A0F44">
      <w:r w:rsidRPr="009A0F44">
        <w:t xml:space="preserve">“In my end is my beginning,” T. S. Eliot mused in </w:t>
      </w:r>
      <w:r w:rsidRPr="009A0F44">
        <w:rPr>
          <w:i/>
          <w:iCs/>
        </w:rPr>
        <w:t>Four Quartets</w:t>
      </w:r>
      <w:r w:rsidRPr="009A0F44">
        <w:t>. This captures the paradox we face today: with the advent of powerful, easily accessible artificial intelligence (AI), we are at the dawn of a new era. But is it safe? The honest answer is—we don’t fully know. What is clear is that AI is here to stay, weaving itself into the fabric of our daily lives, from personalized recommendations to critical healthcare diagnostics. The challenge is not just in embracing this technology but in ensuring it serves humanity without compromising safety or ethics.</w:t>
      </w:r>
    </w:p>
    <w:p w14:paraId="3528F3B6" w14:textId="77777777" w:rsidR="009A0F44" w:rsidRPr="009A0F44" w:rsidRDefault="009A0F44" w:rsidP="009A0F44">
      <w:r w:rsidRPr="009A0F44">
        <w:t xml:space="preserve">Amid this technological surge, the United States stands at a crossroads, especially after the June 2024 Supreme Court decision in </w:t>
      </w:r>
      <w:r w:rsidRPr="009A0F44">
        <w:rPr>
          <w:i/>
          <w:iCs/>
        </w:rPr>
        <w:t>Loper Bright Enterprises v. Raimondo</w:t>
      </w:r>
      <w:r w:rsidRPr="009A0F44">
        <w:t>, which dismantled the Chevron Deference. This once-empowering doctrine allowed federal agencies to interpret laws within their expertise, acting as the bridge between stagnant legislation and fast-paced innovation. With its removal, the task of overseeing AI now falls under greater scrutiny, demanding clear, actionable guidelines in an environment that is anything but simple.</w:t>
      </w:r>
    </w:p>
    <w:p w14:paraId="7F1A6DEC" w14:textId="77777777" w:rsidR="009A0F44" w:rsidRPr="009A0F44" w:rsidRDefault="009A0F44" w:rsidP="009A0F44">
      <w:r w:rsidRPr="009A0F44">
        <w:t>This paper delves into how the U.S. currently navigates the regulatory challenges of AI, examines the varied positions of industry leaders and advocates, and explores the impact of Chevron’s end on future governance. The goal is to lay bare the urgent need for a balanced approach—one that fosters innovation but prioritizes safety, accountability, and fairness.</w:t>
      </w:r>
    </w:p>
    <w:p w14:paraId="0D547C23" w14:textId="77777777" w:rsidR="0095365D" w:rsidRPr="0095365D" w:rsidRDefault="0095365D" w:rsidP="00D556F7">
      <w:pPr>
        <w:pStyle w:val="Heading1"/>
      </w:pPr>
      <w:r w:rsidRPr="0095365D">
        <w:t xml:space="preserve">II. </w:t>
      </w:r>
      <w:bookmarkStart w:id="1" w:name="Regulatory_Opposition"/>
      <w:r w:rsidRPr="0095365D">
        <w:t>Regulatory Opposition</w:t>
      </w:r>
      <w:bookmarkEnd w:id="1"/>
    </w:p>
    <w:p w14:paraId="7D2B09E0" w14:textId="77777777" w:rsidR="0095365D" w:rsidRPr="0095365D" w:rsidRDefault="0095365D" w:rsidP="0095365D">
      <w:r w:rsidRPr="0095365D">
        <w:t xml:space="preserve">When it comes to regulating AI, some of the most influential voices come from the very companies driving </w:t>
      </w:r>
      <w:proofErr w:type="gramStart"/>
      <w:r w:rsidRPr="0095365D">
        <w:t>its</w:t>
      </w:r>
      <w:proofErr w:type="gramEnd"/>
      <w:r w:rsidRPr="0095365D">
        <w:t xml:space="preserve"> advancement. Major tech giants—Google, Meta, and Microsoft—have all expressed </w:t>
      </w:r>
      <w:r w:rsidRPr="0095365D">
        <w:lastRenderedPageBreak/>
        <w:t>nuanced positions on AI oversight. While their arguments often sound supportive, a closer look reveals a complex web of concerns about overregulation and self-preservation.</w:t>
      </w:r>
    </w:p>
    <w:p w14:paraId="3CCCF8F1" w14:textId="77777777" w:rsidR="00FC12CF" w:rsidRPr="00FC12CF" w:rsidRDefault="0095365D" w:rsidP="00FC12CF">
      <w:r w:rsidRPr="0095365D">
        <w:rPr>
          <w:b/>
          <w:bCs/>
        </w:rPr>
        <w:t>Google (Alphabet)</w:t>
      </w:r>
      <w:r w:rsidRPr="0095365D">
        <w:t xml:space="preserve">, led by CEO Sundar Pichai, has long advocated for what he calls “sensible” regulation. In a 2020 op-ed for the </w:t>
      </w:r>
      <w:r w:rsidRPr="0095365D">
        <w:rPr>
          <w:i/>
          <w:iCs/>
        </w:rPr>
        <w:t>Financial Times</w:t>
      </w:r>
      <w:r w:rsidRPr="0095365D">
        <w:t xml:space="preserve">, Pichai argued that while safety is paramount, regulation should not choke innovation. He highlighted the importance of government involvement but maintained that industry-driven standards and self-regulation should be part of the solution. </w:t>
      </w:r>
      <w:hyperlink r:id="rId5" w:tgtFrame="_blank" w:history="1">
        <w:r w:rsidR="00FC12CF" w:rsidRPr="00FC12CF">
          <w:rPr>
            <w:rStyle w:val="Hyperlink"/>
          </w:rPr>
          <w:t>Tech A</w:t>
        </w:r>
        <w:r w:rsidR="00FC12CF" w:rsidRPr="00FC12CF">
          <w:rPr>
            <w:rStyle w:val="Hyperlink"/>
          </w:rPr>
          <w:t>d</w:t>
        </w:r>
        <w:r w:rsidR="00FC12CF" w:rsidRPr="00FC12CF">
          <w:rPr>
            <w:rStyle w:val="Hyperlink"/>
          </w:rPr>
          <w:t>visor</w:t>
        </w:r>
      </w:hyperlink>
    </w:p>
    <w:p w14:paraId="7726DB4B" w14:textId="1E770FC4" w:rsidR="0095365D" w:rsidRPr="0095365D" w:rsidRDefault="0095365D" w:rsidP="0095365D">
      <w:r w:rsidRPr="0095365D">
        <w:t xml:space="preserve">However, this balanced approach raises questions: Can a company that profits immensely from AI be trusted to set its own boundaries? Critics argue that relying on tech companies to self-regulate is akin to letting the fox guard the henhouse. The potential for AI </w:t>
      </w:r>
      <w:proofErr w:type="gramStart"/>
      <w:r w:rsidRPr="0095365D">
        <w:t>misuse—</w:t>
      </w:r>
      <w:proofErr w:type="gramEnd"/>
      <w:r w:rsidRPr="0095365D">
        <w:t>such as automating cyberattacks, fabricating deepfakes, or manipulating public opinion—underscores the stakes. If a lone developer on a modest laptop can achieve unsettling feats, what might a well-resourced corporation unleash, even unintentionally?</w:t>
      </w:r>
    </w:p>
    <w:p w14:paraId="28B7D571" w14:textId="4255E7D1" w:rsidR="0095365D" w:rsidRPr="0095365D" w:rsidRDefault="0095365D" w:rsidP="0095365D">
      <w:r w:rsidRPr="0095365D">
        <w:rPr>
          <w:b/>
          <w:bCs/>
        </w:rPr>
        <w:t>Meta (formerly Facebook)</w:t>
      </w:r>
      <w:r w:rsidRPr="0095365D">
        <w:t xml:space="preserve"> adopts a collaborative tone, with CEO Mark Zuckerberg advocating for joint efforts between governments and industry. He has called for tailored regulation in areas like content moderation but champions the idea that companies should have flexibility to develop new technologies. </w:t>
      </w:r>
      <w:hyperlink r:id="rId6" w:history="1">
        <w:r w:rsidR="00FC12CF" w:rsidRPr="00FC12CF">
          <w:rPr>
            <w:rStyle w:val="Hyperlink"/>
          </w:rPr>
          <w:t>Meta</w:t>
        </w:r>
      </w:hyperlink>
      <w:r w:rsidR="00FC12CF">
        <w:t xml:space="preserve"> </w:t>
      </w:r>
      <w:r w:rsidRPr="0095365D">
        <w:t xml:space="preserve">While global standards are mentioned as desirable for consistency, Meta’s emphasis on self-regulation is not without its skeptics. The influence of corporate lobbying has raised eyebrows, with many fearing that such “collaboration” might tip </w:t>
      </w:r>
      <w:proofErr w:type="gramStart"/>
      <w:r w:rsidRPr="0095365D">
        <w:t>policy-making</w:t>
      </w:r>
      <w:proofErr w:type="gramEnd"/>
      <w:r w:rsidRPr="0095365D">
        <w:t xml:space="preserve"> in favor of industry interests over public welfare. After all, corporations are not people, no matter how much the interpretation of the 14th Amendment has been stretched.</w:t>
      </w:r>
    </w:p>
    <w:p w14:paraId="2F841A02" w14:textId="62498028" w:rsidR="0095365D" w:rsidRPr="0095365D" w:rsidRDefault="00FC12CF" w:rsidP="0095365D">
      <w:hyperlink r:id="rId7" w:history="1">
        <w:r w:rsidR="0095365D" w:rsidRPr="0095365D">
          <w:rPr>
            <w:rStyle w:val="Hyperlink"/>
            <w:b/>
            <w:bCs/>
          </w:rPr>
          <w:t>Microsoft</w:t>
        </w:r>
      </w:hyperlink>
      <w:r w:rsidR="0095365D" w:rsidRPr="0095365D">
        <w:t xml:space="preserve">, under the leadership of President Brad Smith, presents itself as a proactive advocate for ethical AI. Smith has called for government action, particularly in high-stakes areas like facial recognition. While Microsoft has been more open to external oversight than its peers, the company’s extensive data collection practices prompt doubts about its true motives. Why should a company that tracks hundreds of data points on users without clear, plain disclosures be trusted to lead the </w:t>
      </w:r>
      <w:proofErr w:type="gramStart"/>
      <w:r w:rsidR="0095365D" w:rsidRPr="0095365D">
        <w:t>ethics</w:t>
      </w:r>
      <w:proofErr w:type="gramEnd"/>
      <w:r w:rsidR="0095365D" w:rsidRPr="0095365D">
        <w:t xml:space="preserve"> conversation? Critics argue that independent oversight, rather than co-regulation dominated by industry, is needed to ensure accountability.</w:t>
      </w:r>
    </w:p>
    <w:p w14:paraId="79E67CEA" w14:textId="77777777" w:rsidR="0095365D" w:rsidRPr="0095365D" w:rsidRDefault="0095365D" w:rsidP="0095365D">
      <w:r w:rsidRPr="0095365D">
        <w:t xml:space="preserve">Despite their differences, these companies share common themes: a preference for targeted, sector-specific regulation and a significant role for self-regulation. They argue that sweeping, heavy-handed laws could suffocate innovation and hinder the U.S.’s competitive edge in the global AI race. Yet, as we look deeper, the question remains: Can a system rooted in profit be relied upon </w:t>
      </w:r>
      <w:proofErr w:type="gramStart"/>
      <w:r w:rsidRPr="0095365D">
        <w:t>to</w:t>
      </w:r>
      <w:proofErr w:type="gramEnd"/>
      <w:r w:rsidRPr="0095365D">
        <w:t xml:space="preserve"> police itself when the risks stretch far beyond profit margins?</w:t>
      </w:r>
    </w:p>
    <w:p w14:paraId="6E66B22F" w14:textId="77777777" w:rsidR="00835D4A" w:rsidRPr="00835D4A" w:rsidRDefault="00835D4A" w:rsidP="00D556F7">
      <w:pPr>
        <w:pStyle w:val="Heading1"/>
      </w:pPr>
      <w:r w:rsidRPr="00835D4A">
        <w:t xml:space="preserve">III. </w:t>
      </w:r>
      <w:bookmarkStart w:id="2" w:name="Summary_of_Industry_Positions"/>
      <w:r w:rsidRPr="00835D4A">
        <w:t>Summary of Industry Positions</w:t>
      </w:r>
    </w:p>
    <w:bookmarkEnd w:id="2"/>
    <w:p w14:paraId="74CEA77D" w14:textId="77777777" w:rsidR="00835D4A" w:rsidRPr="00835D4A" w:rsidRDefault="00835D4A" w:rsidP="00835D4A">
      <w:r w:rsidRPr="00835D4A">
        <w:t>A common thread runs through the public stances of leading tech giants like Google, Meta, and Microsoft when it comes to AI regulation: a preference for targeted, sector-specific measures over sweeping, blanket laws. While these companies publicly express support for regulation, the type of regulation they envision often aligns closely with their business interests and desire for operational freedom.</w:t>
      </w:r>
    </w:p>
    <w:p w14:paraId="36FC4E56" w14:textId="77777777" w:rsidR="00835D4A" w:rsidRPr="00835D4A" w:rsidRDefault="00835D4A" w:rsidP="00835D4A">
      <w:r w:rsidRPr="00835D4A">
        <w:lastRenderedPageBreak/>
        <w:t>The overarching argument from these industry leaders is that regulation should be applied selectively, focusing on high-risk areas like facial recognition or AI in healthcare. This perspective positions them as advocates for innovation, warning that overregulation could stifle technological progress and, by extension, America’s global competitiveness.</w:t>
      </w:r>
    </w:p>
    <w:p w14:paraId="085610B0" w14:textId="77777777" w:rsidR="00835D4A" w:rsidRPr="00835D4A" w:rsidRDefault="00835D4A" w:rsidP="00835D4A">
      <w:r w:rsidRPr="00835D4A">
        <w:t xml:space="preserve">The tech sector's push for self-regulation or co-regulation is another recurring theme. Leaders like Sundar Pichai of Google emphasize that industry standards should form the backbone of AI governance, supplemented by limited external oversight. Similarly, Meta’s Mark Zuckerberg </w:t>
      </w:r>
      <w:proofErr w:type="gramStart"/>
      <w:r w:rsidRPr="00835D4A">
        <w:t>advocates for</w:t>
      </w:r>
      <w:proofErr w:type="gramEnd"/>
      <w:r w:rsidRPr="00835D4A">
        <w:t xml:space="preserve"> partnerships between governments and companies, implying that the industry's unique insights into AI development are essential to crafting sensible policies. Meanwhile, Microsoft’s Brad Smith calls for government involvement but often frames it in a way that would see industry maintaining significant control.</w:t>
      </w:r>
    </w:p>
    <w:p w14:paraId="68CAE270" w14:textId="77777777" w:rsidR="00835D4A" w:rsidRPr="00835D4A" w:rsidRDefault="00835D4A" w:rsidP="00835D4A">
      <w:r w:rsidRPr="00835D4A">
        <w:t>These positions are not without critique. Self-regulation, while appealing to companies that wish to maintain agility and avoid bureaucratic delays, invites skepticism. History has shown that when companies self-police, public interests can sometimes be sidelined in favor of profit. The argument against heavy-handed regulation is not just a defensive measure but a strategic one, aimed at retaining influence over how rules are set and enforced.</w:t>
      </w:r>
    </w:p>
    <w:p w14:paraId="4A5DCCDC" w14:textId="77777777" w:rsidR="00835D4A" w:rsidRPr="00835D4A" w:rsidRDefault="00835D4A" w:rsidP="00835D4A">
      <w:r w:rsidRPr="00835D4A">
        <w:t>At the core of their messaging, the tech industry leaders emphasize that broad, inflexible regulations would be detrimental. They suggest that rules should be tailored to specific applications, allowing room for innovation to flourish while ostensibly protecting users from significant risks. Yet, this stance leads to a critical question: Can a regulatory framework that leans heavily on self-regulation and sector-specific oversight truly safeguard public interest in an environment where technology moves at breakneck speed?</w:t>
      </w:r>
    </w:p>
    <w:p w14:paraId="09FE6AE6" w14:textId="77777777" w:rsidR="00835D4A" w:rsidRPr="00835D4A" w:rsidRDefault="00835D4A" w:rsidP="00D556F7">
      <w:pPr>
        <w:pStyle w:val="Heading1"/>
      </w:pPr>
      <w:r w:rsidRPr="00835D4A">
        <w:t xml:space="preserve">IV. </w:t>
      </w:r>
      <w:bookmarkStart w:id="3" w:name="Proponents_of_AI_Regulation"/>
      <w:r w:rsidRPr="00835D4A">
        <w:t>Proponents of AI Regulation</w:t>
      </w:r>
      <w:bookmarkEnd w:id="3"/>
    </w:p>
    <w:p w14:paraId="0057B5A7" w14:textId="77777777" w:rsidR="00835D4A" w:rsidRPr="00835D4A" w:rsidRDefault="00835D4A" w:rsidP="00835D4A">
      <w:r w:rsidRPr="00835D4A">
        <w:t>While major tech companies often voice concerns about overregulation, there are significant advocates pushing for stronger oversight and comprehensive regulation of AI. These voices come from both within the tech community and from academics, policymakers, and civil society.</w:t>
      </w:r>
    </w:p>
    <w:p w14:paraId="3FE06EB5" w14:textId="27F9362C" w:rsidR="00835D4A" w:rsidRPr="00835D4A" w:rsidRDefault="00835D4A" w:rsidP="00835D4A">
      <w:r w:rsidRPr="00835D4A">
        <w:rPr>
          <w:b/>
          <w:bCs/>
        </w:rPr>
        <w:t>OpenAI</w:t>
      </w:r>
      <w:r w:rsidRPr="00835D4A">
        <w:t>, a standout in this space, has taken a proactive approach toward regulation. CEO Sam Altman has consistently emphasized the importance of not just national, but global regulatory frameworks to manage the power and potential risks of advanced AI. During his testimony before Congress in 2023, Altman called for a U.S. licensing regime for companies developing sophisticated AI systems. This approach signals a shift from the industry’s usual caution toward regulation to a recognition that unchecked AI development could have severe consequences. OpenAI’s advocacy for stringent oversight and licensing reflects a rare instance where a tech company openly supports measures that could limit its own freedom, a perspective that many find noteworthy.</w:t>
      </w:r>
      <w:r w:rsidR="00FC12CF">
        <w:t xml:space="preserve"> </w:t>
      </w:r>
      <w:hyperlink r:id="rId8" w:history="1">
        <w:r w:rsidR="00FC12CF" w:rsidRPr="00FC12CF">
          <w:rPr>
            <w:rStyle w:val="Hyperlink"/>
          </w:rPr>
          <w:t>Tech Policy Press</w:t>
        </w:r>
      </w:hyperlink>
    </w:p>
    <w:p w14:paraId="2003E196" w14:textId="6026F914" w:rsidR="00835D4A" w:rsidRPr="00835D4A" w:rsidRDefault="00835D4A" w:rsidP="00835D4A">
      <w:r w:rsidRPr="00835D4A">
        <w:t xml:space="preserve">Altman’s position is informed by the warnings of prominent thinkers like Stephen Hawking, who cautioned that full artificial intelligence could potentially end human existence, and Elon Musk, who has pointed out that AI could make humanity irrelevant or worse. OpenAI’s stance is not only about regulatory frameworks but also about ensuring that AI development prioritizes human </w:t>
      </w:r>
      <w:r w:rsidRPr="00835D4A">
        <w:lastRenderedPageBreak/>
        <w:t>welfare and safety over profit. The organization calls for ethical considerations, licensing, and an international coalition to manage existential risks associated with AI advancements.</w:t>
      </w:r>
      <w:r w:rsidR="00FC12CF">
        <w:t xml:space="preserve"> </w:t>
      </w:r>
      <w:hyperlink r:id="rId9" w:history="1">
        <w:r w:rsidR="00FC12CF" w:rsidRPr="00FC12CF">
          <w:rPr>
            <w:rStyle w:val="Hyperlink"/>
          </w:rPr>
          <w:t>Cambridge University</w:t>
        </w:r>
      </w:hyperlink>
    </w:p>
    <w:p w14:paraId="4FF1F276" w14:textId="2CE48896" w:rsidR="00835D4A" w:rsidRPr="00835D4A" w:rsidRDefault="00835D4A" w:rsidP="00835D4A">
      <w:r w:rsidRPr="00835D4A">
        <w:t>Academic circles and civil society organizations echo these concerns. Many argue that proactive regulation is not just a precaution but a necessity. They point to real-world examples where AI has shown the potential to reinforce biases or operate in unintended, harmful ways. From biased predictive policing algorithms that disproportionately target marginalized communities to generative AI systems that can create hyper-realistic disinformation, the need for oversight is evident. Without strict regulation, the societal cost could far outweigh the benefits that AI promises.</w:t>
      </w:r>
      <w:r w:rsidR="00C909D9">
        <w:t xml:space="preserve"> </w:t>
      </w:r>
      <w:hyperlink r:id="rId10" w:history="1">
        <w:r w:rsidR="00C909D9" w:rsidRPr="00C909D9">
          <w:rPr>
            <w:rStyle w:val="Hyperlink"/>
          </w:rPr>
          <w:t>Brookings Institution</w:t>
        </w:r>
      </w:hyperlink>
    </w:p>
    <w:p w14:paraId="0FEF70D6" w14:textId="34BD0F0F" w:rsidR="00835D4A" w:rsidRPr="00835D4A" w:rsidRDefault="00835D4A" w:rsidP="00835D4A">
      <w:r w:rsidRPr="00835D4A">
        <w:t>These advocates also emphasize that effective regulation must be flexible enough to adapt to technological advancements. Unlike conventional systems where code dictates behavior, generative AI can exhibit emergent properties, meaning its outcomes may not always align with its initial programming. This unpredictability makes the case for strong, independent oversight even more compelling.</w:t>
      </w:r>
      <w:hyperlink r:id="rId11" w:history="1">
        <w:r w:rsidR="00C909D9" w:rsidRPr="00C909D9">
          <w:rPr>
            <w:rStyle w:val="Hyperlink"/>
          </w:rPr>
          <w:t xml:space="preserve"> </w:t>
        </w:r>
        <w:r w:rsidR="00C909D9" w:rsidRPr="00C909D9">
          <w:rPr>
            <w:rStyle w:val="Hyperlink"/>
          </w:rPr>
          <w:t>Vox</w:t>
        </w:r>
      </w:hyperlink>
    </w:p>
    <w:p w14:paraId="6FC87EA8" w14:textId="77777777" w:rsidR="00835D4A" w:rsidRPr="00835D4A" w:rsidRDefault="00835D4A" w:rsidP="00835D4A">
      <w:r w:rsidRPr="00835D4A">
        <w:t>The proponents of regulation make it clear: the question is not whether AI should be regulated, but how to do so in a way that balances innovation with accountability. Their voices remind us that technology’s potential must be harnessed responsibly, or the risks may one day outweigh the rewards.</w:t>
      </w:r>
    </w:p>
    <w:p w14:paraId="60EADB8E" w14:textId="77777777" w:rsidR="003746BB" w:rsidRPr="003746BB" w:rsidRDefault="003746BB" w:rsidP="00D556F7">
      <w:pPr>
        <w:pStyle w:val="Heading1"/>
      </w:pPr>
      <w:r w:rsidRPr="003746BB">
        <w:t xml:space="preserve">V. The </w:t>
      </w:r>
      <w:bookmarkStart w:id="4" w:name="End_of_Chevron_Deference"/>
      <w:r w:rsidRPr="003746BB">
        <w:t xml:space="preserve">End of Chevron Deference </w:t>
      </w:r>
      <w:bookmarkEnd w:id="4"/>
      <w:r w:rsidRPr="003746BB">
        <w:t>and Its Impact</w:t>
      </w:r>
    </w:p>
    <w:p w14:paraId="2CF5CA94" w14:textId="4760CE83" w:rsidR="003746BB" w:rsidRPr="003746BB" w:rsidRDefault="003746BB" w:rsidP="003746BB">
      <w:r w:rsidRPr="003746BB">
        <w:t xml:space="preserve">The Supreme Court’s decision in </w:t>
      </w:r>
      <w:r w:rsidRPr="003746BB">
        <w:rPr>
          <w:i/>
          <w:iCs/>
        </w:rPr>
        <w:t>Loper Bright Enterprises v. Raimondo</w:t>
      </w:r>
      <w:r w:rsidRPr="003746BB">
        <w:t xml:space="preserve"> in June 2024, which overturned Chevron Deference, marked a pivotal shift in how federal agencies operate. This doctrine had granted agencies the power to interpret ambiguous statutes related to their areas of expertise, under the premise that they were better equipped than courts or Congress to understand complex technical or specialized matters. Its dissolution has profound implications for the regulation of artificial intelligence in the U.S.</w:t>
      </w:r>
      <w:r w:rsidR="00FB7E2D">
        <w:t xml:space="preserve"> </w:t>
      </w:r>
      <w:hyperlink r:id="rId12" w:history="1">
        <w:r w:rsidR="00FB7E2D" w:rsidRPr="00FB7E2D">
          <w:rPr>
            <w:rStyle w:val="Hyperlink"/>
          </w:rPr>
          <w:t>FPF</w:t>
        </w:r>
      </w:hyperlink>
    </w:p>
    <w:p w14:paraId="6C694A22" w14:textId="47E3C470" w:rsidR="003746BB" w:rsidRPr="003746BB" w:rsidRDefault="003746BB" w:rsidP="003746BB">
      <w:r w:rsidRPr="003746BB">
        <w:t xml:space="preserve">Chevron Deference allowed agencies like the Federal Trade Commission (FTC), Food and Drug Administration (FDA), and Department of Transportation (DOT) </w:t>
      </w:r>
      <w:proofErr w:type="gramStart"/>
      <w:r w:rsidRPr="003746BB">
        <w:t>the flexibility</w:t>
      </w:r>
      <w:proofErr w:type="gramEnd"/>
      <w:r w:rsidRPr="003746BB">
        <w:t xml:space="preserve"> to craft regulations and oversee AI technologies without waiting for Congress to pass specific legislation. This interpretative power was crucial in addressing rapid advancements in technology that </w:t>
      </w:r>
      <w:proofErr w:type="gramStart"/>
      <w:r w:rsidRPr="003746BB">
        <w:t>often outpaced</w:t>
      </w:r>
      <w:proofErr w:type="gramEnd"/>
      <w:r w:rsidRPr="003746BB">
        <w:t xml:space="preserve"> legislative processes. With Chevron Deference no longer in place, regulatory agencies are now constrained to interpret statutory language strictly. This change significantly limits their ability to adapt regulations quickly in response to technological shifts and emerging AI risks.</w:t>
      </w:r>
      <w:r w:rsidR="00FB7E2D">
        <w:t xml:space="preserve"> </w:t>
      </w:r>
      <w:hyperlink r:id="rId13" w:history="1">
        <w:r w:rsidR="00FB7E2D" w:rsidRPr="00FB7E2D">
          <w:rPr>
            <w:rStyle w:val="Hyperlink"/>
          </w:rPr>
          <w:t>LAW AI</w:t>
        </w:r>
      </w:hyperlink>
    </w:p>
    <w:p w14:paraId="1E4DE74D" w14:textId="6714B945" w:rsidR="003746BB" w:rsidRPr="003746BB" w:rsidRDefault="003746BB" w:rsidP="003746BB">
      <w:r w:rsidRPr="003746BB">
        <w:t>The end of Chevron Deference means that the responsibility for interpreting regulations now shifts more heavily to the judiciary, which often lacks the specialized expertise that agencies possess. This shift can lead to increased legal challenges against agency regulations, creating an environment where courts, not experts, ultimately decide the fate of regulatory actions. This judicial scrutiny could slow down or complicate the implementation of AI oversight, potentially hindering timely responses to new developments in AI technologies.</w:t>
      </w:r>
      <w:r w:rsidR="00FB7E2D">
        <w:t xml:space="preserve"> </w:t>
      </w:r>
      <w:hyperlink r:id="rId14" w:history="1">
        <w:r w:rsidR="009D3632">
          <w:rPr>
            <w:rStyle w:val="Hyperlink"/>
          </w:rPr>
          <w:t>TECHCRUNCH</w:t>
        </w:r>
      </w:hyperlink>
    </w:p>
    <w:p w14:paraId="2DAF2CA5" w14:textId="2D4A1DAF" w:rsidR="003746BB" w:rsidRPr="003746BB" w:rsidRDefault="003746BB" w:rsidP="003746BB">
      <w:r w:rsidRPr="003746BB">
        <w:lastRenderedPageBreak/>
        <w:t xml:space="preserve">This change also raises questions about the legislative capacity of Congress to keep up with the speed of </w:t>
      </w:r>
      <w:proofErr w:type="gramStart"/>
      <w:r w:rsidRPr="003746BB">
        <w:t>AI advancement</w:t>
      </w:r>
      <w:proofErr w:type="gramEnd"/>
      <w:r w:rsidRPr="003746BB">
        <w:t xml:space="preserve">. More than </w:t>
      </w:r>
      <w:r w:rsidR="00FB7E2D">
        <w:t>120</w:t>
      </w:r>
      <w:r w:rsidRPr="003746BB">
        <w:t xml:space="preserve"> pieces of AI-related legislation have been proposed, but the process of enacting comprehensive and adaptive laws is notoriously slow. Without Chevron’s interpretative leeway, agencies may struggle to enforce current statutes effectively, leading to regulatory inconsistencies across different sectors.</w:t>
      </w:r>
      <w:r w:rsidR="00FB7E2D">
        <w:t xml:space="preserve"> </w:t>
      </w:r>
      <w:hyperlink r:id="rId15" w:history="1">
        <w:r w:rsidR="009D3632">
          <w:rPr>
            <w:rStyle w:val="Hyperlink"/>
          </w:rPr>
          <w:t>VENABLE</w:t>
        </w:r>
      </w:hyperlink>
    </w:p>
    <w:p w14:paraId="34508E35" w14:textId="7688B5ED" w:rsidR="003746BB" w:rsidRPr="003746BB" w:rsidRDefault="003746BB" w:rsidP="003746BB">
      <w:r w:rsidRPr="003746BB">
        <w:t xml:space="preserve">The implications </w:t>
      </w:r>
      <w:proofErr w:type="gramStart"/>
      <w:r w:rsidRPr="003746BB">
        <w:t>of</w:t>
      </w:r>
      <w:proofErr w:type="gramEnd"/>
      <w:r w:rsidRPr="003746BB">
        <w:t xml:space="preserve"> this shift are significant. For example, if the FTC wants to enforce AI-related consumer protections, it must now do so with clear statutory authority rather than relying on its broader interpretative power. This could make it more challenging to address emerging issues like data privacy abuses or misleading practices involving generative AI. The loss of this adaptive regulatory tool could hinder the U.S. in maintaining a proactive stance on AI oversight compared to other global powers, such as the European Union, which continues to push forward with comprehensive AI regulations.</w:t>
      </w:r>
      <w:r w:rsidR="009D3632">
        <w:t xml:space="preserve"> </w:t>
      </w:r>
      <w:hyperlink r:id="rId16" w:history="1">
        <w:r w:rsidR="009D3632">
          <w:rPr>
            <w:rStyle w:val="Hyperlink"/>
          </w:rPr>
          <w:t>VENABLE</w:t>
        </w:r>
      </w:hyperlink>
    </w:p>
    <w:p w14:paraId="116C600C" w14:textId="77777777" w:rsidR="003746BB" w:rsidRPr="003746BB" w:rsidRDefault="003746BB" w:rsidP="003746BB">
      <w:r w:rsidRPr="003746BB">
        <w:t xml:space="preserve">The end of </w:t>
      </w:r>
      <w:proofErr w:type="gramStart"/>
      <w:r w:rsidRPr="003746BB">
        <w:t>Chevron</w:t>
      </w:r>
      <w:proofErr w:type="gramEnd"/>
      <w:r w:rsidRPr="003746BB">
        <w:t xml:space="preserve"> Deference highlights the urgent need for Congress to step in and provide clearer legislative directives on AI governance. While this may encourage more transparency and accountability, it also places immense pressure on legislative bodies to act swiftly and effectively—a task that may prove daunting given the complexities and pace of AI development.</w:t>
      </w:r>
    </w:p>
    <w:p w14:paraId="7383BB1B" w14:textId="382B2225" w:rsidR="003746BB" w:rsidRPr="003746BB" w:rsidRDefault="003746BB" w:rsidP="003746BB"/>
    <w:p w14:paraId="1FADE117" w14:textId="77777777" w:rsidR="003746BB" w:rsidRPr="003746BB" w:rsidRDefault="003746BB" w:rsidP="00D556F7">
      <w:pPr>
        <w:pStyle w:val="Heading1"/>
      </w:pPr>
      <w:r w:rsidRPr="003746BB">
        <w:t xml:space="preserve">VI. Analysis of </w:t>
      </w:r>
      <w:bookmarkStart w:id="5" w:name="Current_Legislative_Landscape"/>
      <w:r w:rsidRPr="003746BB">
        <w:t>Current Legislative Landscape</w:t>
      </w:r>
      <w:bookmarkEnd w:id="5"/>
    </w:p>
    <w:p w14:paraId="6CA0E095" w14:textId="6E01C1EA" w:rsidR="003746BB" w:rsidRPr="003746BB" w:rsidRDefault="003746BB" w:rsidP="003746BB">
      <w:r w:rsidRPr="003746BB">
        <w:t>The current legislative landscape for AI regulation in the U.S. is a patchwork of proposed laws, agency guidelines, and state-level initiatives. This fragmented approach has led to uneven oversight and regulatory gaps that vary significantly across different regions and sectors. The recent Supreme Court decision ending Chevron Deference has only amplified the complexity, stripping federal agencies of their ability to interpret statutes with broad authority and leaving them with limited power to adapt existing regulations to meet new challenges.</w:t>
      </w:r>
      <w:r w:rsidR="009D3632">
        <w:t xml:space="preserve"> </w:t>
      </w:r>
      <w:hyperlink r:id="rId17" w:history="1">
        <w:r w:rsidR="009D3632" w:rsidRPr="009D3632">
          <w:rPr>
            <w:rStyle w:val="Hyperlink"/>
          </w:rPr>
          <w:t>COUNCIL FOR SCIENTIFIC GOVERNENCE</w:t>
        </w:r>
      </w:hyperlink>
    </w:p>
    <w:p w14:paraId="72D49AEE" w14:textId="464D709D" w:rsidR="003746BB" w:rsidRPr="003746BB" w:rsidRDefault="003746BB" w:rsidP="003746BB">
      <w:r w:rsidRPr="003746BB">
        <w:t>One of the primary efforts in AI regulation has been the introduction of the Algorithmic Accountability Act, aimed at increasing transparency and accountability for companies deploying high-risk AI systems. This act would require organizations to conduct impact assessments to identify and mitigate potential risks, particularly around bias and privacy violations. However, the Act's progress has been slow, hindered by political gridlock and competing priorities. The lack of comprehensive federal legislation has left states like California and Illinois to implement their own AI-related laws, leading to a fragmented regulatory landscape where the rules can vary drastically from one state to another.</w:t>
      </w:r>
      <w:r w:rsidR="009D3632">
        <w:t xml:space="preserve"> </w:t>
      </w:r>
      <w:hyperlink r:id="rId18" w:history="1">
        <w:r w:rsidR="009D3632" w:rsidRPr="009D3632">
          <w:rPr>
            <w:rStyle w:val="Hyperlink"/>
          </w:rPr>
          <w:t>Congres</w:t>
        </w:r>
        <w:r w:rsidR="009D3632" w:rsidRPr="009D3632">
          <w:rPr>
            <w:rStyle w:val="Hyperlink"/>
          </w:rPr>
          <w:t>s</w:t>
        </w:r>
        <w:r w:rsidR="009D3632" w:rsidRPr="009D3632">
          <w:rPr>
            <w:rStyle w:val="Hyperlink"/>
          </w:rPr>
          <w:t>.gov</w:t>
        </w:r>
      </w:hyperlink>
    </w:p>
    <w:p w14:paraId="61487E64" w14:textId="51345897" w:rsidR="003746BB" w:rsidRPr="003746BB" w:rsidRDefault="003746BB" w:rsidP="003746BB">
      <w:r w:rsidRPr="003746BB">
        <w:t xml:space="preserve">This disjointed approach poses significant challenges. Companies operating across state lines must navigate a complex maze of regulations that may conflict or overlap, leading to increased compliance costs and potential legal uncertainties. Furthermore, without unified federal guidelines, the U.S. risks falling behind in setting global AI standards, ceding leadership to regions like the European Union, which has made significant strides with its comprehensive AI Act. The EU’s structured approach, focusing on sector-specific risks and including transparency and </w:t>
      </w:r>
      <w:r w:rsidRPr="003746BB">
        <w:lastRenderedPageBreak/>
        <w:t>accountability mandates, offers a contrasting model that the U.S. could potentially learn from or adapt.</w:t>
      </w:r>
      <w:r w:rsidR="009D3632">
        <w:t xml:space="preserve"> </w:t>
      </w:r>
      <w:hyperlink r:id="rId19" w:history="1">
        <w:r w:rsidR="009D3632" w:rsidRPr="009D3632">
          <w:rPr>
            <w:rStyle w:val="Hyperlink"/>
          </w:rPr>
          <w:t>Re</w:t>
        </w:r>
        <w:r w:rsidR="009D3632" w:rsidRPr="009D3632">
          <w:rPr>
            <w:rStyle w:val="Hyperlink"/>
          </w:rPr>
          <w:t>u</w:t>
        </w:r>
        <w:r w:rsidR="009D3632" w:rsidRPr="009D3632">
          <w:rPr>
            <w:rStyle w:val="Hyperlink"/>
          </w:rPr>
          <w:t>ters</w:t>
        </w:r>
      </w:hyperlink>
    </w:p>
    <w:p w14:paraId="3525ABC1" w14:textId="35169ADF" w:rsidR="003746BB" w:rsidRPr="003746BB" w:rsidRDefault="003746BB" w:rsidP="003746BB">
      <w:r w:rsidRPr="003746BB">
        <w:t xml:space="preserve">Federal agencies such as the FTC and the Department of Transportation have attempted to fill the gap with their own guidance on AI practices. However, without the broad interpretative </w:t>
      </w:r>
      <w:proofErr w:type="gramStart"/>
      <w:r w:rsidRPr="003746BB">
        <w:t>powers once</w:t>
      </w:r>
      <w:proofErr w:type="gramEnd"/>
      <w:r w:rsidRPr="003746BB">
        <w:t xml:space="preserve"> provided by Chevron Deference, these agencies now face significant hurdles. Their ability to enforce meaningful oversight relies on clear, specific statutory language, which often </w:t>
      </w:r>
      <w:proofErr w:type="gramStart"/>
      <w:r w:rsidRPr="003746BB">
        <w:t>lags behind</w:t>
      </w:r>
      <w:proofErr w:type="gramEnd"/>
      <w:r w:rsidRPr="003746BB">
        <w:t xml:space="preserve"> the rapid pace of technological innovation. This limitation raises concerns about how effectively the U.S. can address emergent AI risks, from privacy infringements to ethical violations, in real-time.</w:t>
      </w:r>
      <w:r w:rsidR="009D3632">
        <w:t xml:space="preserve"> </w:t>
      </w:r>
      <w:hyperlink r:id="rId20" w:history="1">
        <w:r w:rsidR="009D3632" w:rsidRPr="009D3632">
          <w:rPr>
            <w:rStyle w:val="Hyperlink"/>
          </w:rPr>
          <w:t>Council for Scientific Governance</w:t>
        </w:r>
      </w:hyperlink>
    </w:p>
    <w:p w14:paraId="013AD466" w14:textId="48E06B0A" w:rsidR="003746BB" w:rsidRPr="003746BB" w:rsidRDefault="003746BB" w:rsidP="003746BB">
      <w:r w:rsidRPr="003746BB">
        <w:t>Adding to the complexity is the tension between federal and state-level regulations. While some states are proactive, creating AI task forces and passing laws to govern the use of AI in areas such as facial recognition and employment screening, others remain silent on the issue. This inconsistency can create a competitive disadvantage for businesses based in more heavily regulated states, potentially stifling innovation in those regions while allowing less regulated areas to become hubs for unchecked AI development.</w:t>
      </w:r>
      <w:r w:rsidR="009D3632">
        <w:t xml:space="preserve"> </w:t>
      </w:r>
      <w:hyperlink r:id="rId21" w:history="1">
        <w:r w:rsidR="009D3632" w:rsidRPr="009D3632">
          <w:rPr>
            <w:rStyle w:val="Hyperlink"/>
          </w:rPr>
          <w:t>Brennan Center for Justice</w:t>
        </w:r>
      </w:hyperlink>
    </w:p>
    <w:p w14:paraId="48F2F2E5" w14:textId="112B559F" w:rsidR="003746BB" w:rsidRPr="003746BB" w:rsidRDefault="003746BB" w:rsidP="003746BB">
      <w:r w:rsidRPr="003746BB">
        <w:t>The challenges in navigating this legislative landscape point to the need for a more cohesive strategy. Effective regulation must balance innovation with public safety, fostering an environment where technological progress can coexist with ethical oversight. The U.S. must find a way to streamline its approach, potentially by drawing lessons from international frameworks and establishing clearer federal mandates that can unify state-level efforts. Only through coordinated action can the U.S. hope to create a robust regulatory structure that keeps pace with the rapid advancements in AI.</w:t>
      </w:r>
      <w:r w:rsidR="009D3632">
        <w:t xml:space="preserve"> </w:t>
      </w:r>
      <w:hyperlink r:id="rId22" w:history="1">
        <w:r w:rsidR="00FC12CF" w:rsidRPr="00FC12CF">
          <w:rPr>
            <w:rStyle w:val="Hyperlink"/>
          </w:rPr>
          <w:t>Council for Scientific Governance</w:t>
        </w:r>
      </w:hyperlink>
    </w:p>
    <w:p w14:paraId="1FAA9C35" w14:textId="77777777" w:rsidR="003746BB" w:rsidRPr="003746BB" w:rsidRDefault="003746BB" w:rsidP="00D556F7">
      <w:pPr>
        <w:pStyle w:val="Heading1"/>
      </w:pPr>
      <w:r w:rsidRPr="003746BB">
        <w:t xml:space="preserve">VII. </w:t>
      </w:r>
      <w:bookmarkStart w:id="6" w:name="Solutions_and_Recommendations"/>
      <w:r w:rsidRPr="003746BB">
        <w:t>Solutions and Recommendations</w:t>
      </w:r>
      <w:bookmarkEnd w:id="6"/>
    </w:p>
    <w:p w14:paraId="6F37536D" w14:textId="77777777" w:rsidR="003746BB" w:rsidRPr="003746BB" w:rsidRDefault="003746BB" w:rsidP="003746BB">
      <w:r w:rsidRPr="003746BB">
        <w:t>Navigating the regulatory challenges posed by AI requires a forward-thinking approach that balances innovation with public safety and accountability. Given the limitations now faced by federal agencies after the end of Chevron Deference and the fragmented state of AI legislation in the U.S., a set of strategic recommendations is necessary to ensure that AI development aligns with societal values and mitigates potential risks.</w:t>
      </w:r>
    </w:p>
    <w:p w14:paraId="38886E74" w14:textId="77777777" w:rsidR="003746BB" w:rsidRPr="003746BB" w:rsidRDefault="003746BB" w:rsidP="003746BB">
      <w:r w:rsidRPr="003746BB">
        <w:rPr>
          <w:rStyle w:val="Heading2Char"/>
        </w:rPr>
        <w:t xml:space="preserve">1. Establishing a </w:t>
      </w:r>
      <w:bookmarkStart w:id="7" w:name="Centralized_Oversight_Body"/>
      <w:r w:rsidRPr="003746BB">
        <w:rPr>
          <w:rStyle w:val="Heading2Char"/>
        </w:rPr>
        <w:t xml:space="preserve">Centralized Oversight Body </w:t>
      </w:r>
      <w:bookmarkEnd w:id="7"/>
      <w:r w:rsidRPr="003746BB">
        <w:rPr>
          <w:rStyle w:val="Heading2Char"/>
        </w:rPr>
        <w:t xml:space="preserve">One </w:t>
      </w:r>
      <w:r w:rsidRPr="003746BB">
        <w:t xml:space="preserve">of the most pressing recommendations is the creation of an independent federal agency dedicated solely to AI oversight. This body would coordinate efforts across different sectors, </w:t>
      </w:r>
      <w:proofErr w:type="gramStart"/>
      <w:r w:rsidRPr="003746BB">
        <w:t>bridging</w:t>
      </w:r>
      <w:proofErr w:type="gramEnd"/>
      <w:r w:rsidRPr="003746BB">
        <w:t xml:space="preserve"> the gap between existing agencies like the FTC and FDA. By centralizing authority, this agency could ensure that AI regulations are applied consistently and comprehensively, reducing the patchwork effect of state-level initiatives and allowing for faster, more adaptive responses to technological developments.</w:t>
      </w:r>
    </w:p>
    <w:p w14:paraId="65021EF2" w14:textId="77777777" w:rsidR="003746BB" w:rsidRPr="003746BB" w:rsidRDefault="003746BB" w:rsidP="003746BB">
      <w:r w:rsidRPr="003746BB">
        <w:rPr>
          <w:rStyle w:val="Heading2Char"/>
        </w:rPr>
        <w:t xml:space="preserve">2. Implementing </w:t>
      </w:r>
      <w:bookmarkStart w:id="8" w:name="Adaptive_Risk_Based_Regulations"/>
      <w:r w:rsidRPr="003746BB">
        <w:rPr>
          <w:rStyle w:val="Heading2Char"/>
        </w:rPr>
        <w:t>Adaptive, Risk-Based Regulations</w:t>
      </w:r>
      <w:r w:rsidRPr="003746BB">
        <w:t xml:space="preserve"> </w:t>
      </w:r>
      <w:bookmarkEnd w:id="8"/>
      <w:r w:rsidRPr="003746BB">
        <w:t xml:space="preserve">AI is an evolving field, with new capabilities and risks emerging at an unprecedented pace. Static regulations could become obsolete before they even take effect. To address this, the U.S. should adopt a dynamic regulatory framework that uses a risk-based approach. High-risk AI applications—such as those affecting </w:t>
      </w:r>
      <w:r w:rsidRPr="003746BB">
        <w:lastRenderedPageBreak/>
        <w:t>national security, healthcare, or critical infrastructure—should be subject to more stringent oversight and periodic review. This would align with global best practices, such as the EU’s tiered approach in the AI Act, which classifies AI systems by risk level and sets appropriate regulatory requirements for each.</w:t>
      </w:r>
    </w:p>
    <w:p w14:paraId="1D6A1CB5" w14:textId="229B39E5" w:rsidR="003746BB" w:rsidRPr="003746BB" w:rsidRDefault="003746BB" w:rsidP="003746BB">
      <w:r w:rsidRPr="003746BB">
        <w:rPr>
          <w:rStyle w:val="Heading2Char"/>
        </w:rPr>
        <w:t xml:space="preserve">3. Encouraging </w:t>
      </w:r>
      <w:bookmarkStart w:id="9" w:name="Transparency_and_Accountability"/>
      <w:r w:rsidRPr="003746BB">
        <w:rPr>
          <w:rStyle w:val="Heading2Char"/>
        </w:rPr>
        <w:t>Transparency and Accountability</w:t>
      </w:r>
      <w:r w:rsidRPr="003746BB">
        <w:t xml:space="preserve"> </w:t>
      </w:r>
      <w:bookmarkEnd w:id="9"/>
      <w:r w:rsidRPr="003746BB">
        <w:t>A cornerstone of effective AI regulation is transparency. Requiring companies to conduct impact assessments and disclose how their algorithms function and make decisions would provide a level of accountability that</w:t>
      </w:r>
      <w:r w:rsidR="00015B5A">
        <w:t xml:space="preserve"> current systems lack</w:t>
      </w:r>
      <w:r w:rsidRPr="003746BB">
        <w:t xml:space="preserve">. Licensing programs, </w:t>
      </w:r>
      <w:r w:rsidR="00015B5A" w:rsidRPr="003746BB">
        <w:t>like</w:t>
      </w:r>
      <w:r w:rsidRPr="003746BB">
        <w:t xml:space="preserve"> those proposed by OpenAI’s leadership, could mandate that companies working on advanced AI systems submit to audits by third-party experts. These audits would ensure that AI models adhere to ethical guidelines and prevent biases or harmful behaviors.</w:t>
      </w:r>
    </w:p>
    <w:p w14:paraId="0ADC09B9" w14:textId="77777777" w:rsidR="003746BB" w:rsidRPr="003746BB" w:rsidRDefault="003746BB" w:rsidP="003746BB">
      <w:r w:rsidRPr="003746BB">
        <w:rPr>
          <w:rStyle w:val="Heading2Char"/>
        </w:rPr>
        <w:t xml:space="preserve">4. </w:t>
      </w:r>
      <w:bookmarkStart w:id="10" w:name="Aligning_with_Global_Standards"/>
      <w:r w:rsidRPr="003746BB">
        <w:rPr>
          <w:rStyle w:val="Heading2Char"/>
        </w:rPr>
        <w:t>Aligning with Global Standards</w:t>
      </w:r>
      <w:r w:rsidRPr="003746BB">
        <w:t xml:space="preserve"> </w:t>
      </w:r>
      <w:bookmarkEnd w:id="10"/>
      <w:r w:rsidRPr="003746BB">
        <w:t>AI does not operate within national borders; its impacts are global. The U.S. should collaborate with international partners to create cohesive, cross-border regulations and ethical standards. This could involve participating in global AI oversight bodies or forming alliances with countries that share similar values. Aligning with international regulations would prevent regulatory arbitrage, where companies relocate to countries with the weakest oversight, and foster shared strategies for addressing AI’s most significant risks, including existential threats.</w:t>
      </w:r>
    </w:p>
    <w:p w14:paraId="366DBA00" w14:textId="1F69ADE7" w:rsidR="003746BB" w:rsidRPr="003746BB" w:rsidRDefault="003746BB" w:rsidP="003746BB">
      <w:r w:rsidRPr="003746BB">
        <w:rPr>
          <w:rStyle w:val="Heading2Char"/>
        </w:rPr>
        <w:t xml:space="preserve">5. Incorporating </w:t>
      </w:r>
      <w:bookmarkStart w:id="11" w:name="Public_Input"/>
      <w:r w:rsidRPr="003746BB">
        <w:rPr>
          <w:rStyle w:val="Heading2Char"/>
        </w:rPr>
        <w:t xml:space="preserve">Public Input </w:t>
      </w:r>
      <w:bookmarkEnd w:id="11"/>
      <w:r w:rsidRPr="003746BB">
        <w:rPr>
          <w:rStyle w:val="Heading2Char"/>
        </w:rPr>
        <w:t>and Diverse Perspectives</w:t>
      </w:r>
      <w:r w:rsidRPr="003746BB">
        <w:t xml:space="preserve"> AI impacts everyone, from the individual user to entire communities. To ensure that regulation reflects the needs and values of society, it’s essential to involve a wide range of stakeholders, including ethicists, civil rights organizations, technologists, and the general public. Public forums and advisory panels could help incorporate diverse perspectives into </w:t>
      </w:r>
      <w:r w:rsidR="00015B5A" w:rsidRPr="003746BB">
        <w:t>policymaking</w:t>
      </w:r>
      <w:r w:rsidRPr="003746BB">
        <w:t>, ensuring that regulations are equitable and representative of broader societal concerns.</w:t>
      </w:r>
    </w:p>
    <w:p w14:paraId="2A8569E4" w14:textId="77777777" w:rsidR="003746BB" w:rsidRPr="003746BB" w:rsidRDefault="003746BB" w:rsidP="003746BB">
      <w:r w:rsidRPr="003746BB">
        <w:rPr>
          <w:rStyle w:val="Heading2Char"/>
        </w:rPr>
        <w:t xml:space="preserve">6. </w:t>
      </w:r>
      <w:bookmarkStart w:id="12" w:name="Legislative_Clarification"/>
      <w:r w:rsidRPr="003746BB">
        <w:rPr>
          <w:rStyle w:val="Heading2Char"/>
        </w:rPr>
        <w:t xml:space="preserve">Legislative Clarification </w:t>
      </w:r>
      <w:bookmarkEnd w:id="12"/>
      <w:r w:rsidRPr="003746BB">
        <w:rPr>
          <w:rStyle w:val="Heading2Char"/>
        </w:rPr>
        <w:t xml:space="preserve">and Support for Agencies </w:t>
      </w:r>
      <w:r w:rsidRPr="003746BB">
        <w:t>To empower federal agencies in the post-Chevron era, Congress should pass clearer statutes that explicitly outline the scope of authority agencies have when regulating AI. This would enable agencies to act decisively and consistently, even without the broad interpretative power they once possessed. Such statutes should be designed to allow some degree of flexibility so that agencies can respond to technological changes without needing entirely new legislative mandates.</w:t>
      </w:r>
    </w:p>
    <w:p w14:paraId="5B3C2C23" w14:textId="77777777" w:rsidR="003746BB" w:rsidRPr="003746BB" w:rsidRDefault="003746BB" w:rsidP="003746BB">
      <w:r w:rsidRPr="003746BB">
        <w:rPr>
          <w:rStyle w:val="Heading2Char"/>
        </w:rPr>
        <w:t xml:space="preserve">7. Supporting </w:t>
      </w:r>
      <w:bookmarkStart w:id="13" w:name="Innovation_Through_Fair_Regulation"/>
      <w:r w:rsidRPr="003746BB">
        <w:rPr>
          <w:rStyle w:val="Heading2Char"/>
        </w:rPr>
        <w:t>Innovation Through Fair Regulation</w:t>
      </w:r>
      <w:r w:rsidRPr="003746BB">
        <w:t xml:space="preserve"> </w:t>
      </w:r>
      <w:bookmarkEnd w:id="13"/>
      <w:r w:rsidRPr="003746BB">
        <w:t>While stringent oversight is necessary, it’s also crucial to strike a balance that does not stifle innovation. Regulations should be fair, avoiding favoritism toward larger, established tech companies and providing room for startups and smaller enterprises to thrive. Fair competition not only fosters innovation but also democratizes the AI landscape, allowing for a wider variety of ideas and approaches.</w:t>
      </w:r>
    </w:p>
    <w:p w14:paraId="2E763287" w14:textId="57D84917" w:rsidR="003746BB" w:rsidRPr="003746BB" w:rsidRDefault="003746BB" w:rsidP="003746BB">
      <w:r w:rsidRPr="003746BB">
        <w:t>The future of AI regulation in the U.S. hinges on adopting a thoughtful and balanced approach. An effective regulatory framework should be adaptable, transparent, and inclusive, fostering technological advancement while protecting public welfare. By centralizing oversight, ensuring adaptability, and aligning with global standards, the U.S. can position itself as both a leader in AI innovation and a model for ethical, responsible regulation.</w:t>
      </w:r>
    </w:p>
    <w:p w14:paraId="48092320" w14:textId="77777777" w:rsidR="00D556F7" w:rsidRPr="00D556F7" w:rsidRDefault="00D556F7" w:rsidP="00D556F7">
      <w:pPr>
        <w:pStyle w:val="Heading1"/>
      </w:pPr>
      <w:r w:rsidRPr="00D556F7">
        <w:lastRenderedPageBreak/>
        <w:t xml:space="preserve">VIII. </w:t>
      </w:r>
      <w:bookmarkStart w:id="14" w:name="Conclusion"/>
      <w:r w:rsidRPr="00D556F7">
        <w:t>Conclusion</w:t>
      </w:r>
      <w:bookmarkEnd w:id="14"/>
    </w:p>
    <w:p w14:paraId="21955247" w14:textId="77777777" w:rsidR="00D556F7" w:rsidRPr="00D556F7" w:rsidRDefault="00D556F7" w:rsidP="00D556F7">
      <w:r w:rsidRPr="00D556F7">
        <w:t>The journey toward effective AI regulation in the U.S. is fraught with challenges, from legislative inertia to the recent curtailment of agency powers due to the end of Chevron Deference. As AI continues to evolve at a breakneck pace, so too must the strategies to manage it responsibly. The current landscape reveals a complex interplay between industry-led efforts for self-regulation, fragmented state-level laws, and federal agencies struggling to keep pace with technological advancements. These dynamics underscore the urgent need for a unified, forward-thinking approach to AI governance.</w:t>
      </w:r>
    </w:p>
    <w:p w14:paraId="7882247D" w14:textId="77777777" w:rsidR="00D556F7" w:rsidRPr="00D556F7" w:rsidRDefault="00D556F7" w:rsidP="00D556F7">
      <w:r w:rsidRPr="00D556F7">
        <w:t>The voices advocating for minimal, targeted regulation often frame overregulation as a potential threat to U.S. innovation and global competitiveness. However, the risks of under-regulation are equally profound. From unchecked data privacy violations to algorithmic bias that deepens societal inequities, the consequences of insufficient oversight are real and far-reaching. The industry’s call for sector-specific and self-regulatory measures, while understandable, is not enough to ensure public safety and trust in this rapidly advancing field.</w:t>
      </w:r>
    </w:p>
    <w:p w14:paraId="33BEC02E" w14:textId="77777777" w:rsidR="00D556F7" w:rsidRPr="00D556F7" w:rsidRDefault="00D556F7" w:rsidP="00D556F7">
      <w:r w:rsidRPr="00D556F7">
        <w:t>Proponents of stronger regulation, such as OpenAI and various academic and civil society leaders, argue that proactive oversight is not a constraint but a necessity. They remind us that the transformative power of AI must be balanced by accountability and ethical principles. Their recommendations for licensing, audits, and international collaboration set the stage for a more comprehensive approach to AI oversight.</w:t>
      </w:r>
    </w:p>
    <w:p w14:paraId="37DF666D" w14:textId="77777777" w:rsidR="00D556F7" w:rsidRPr="00D556F7" w:rsidRDefault="00D556F7" w:rsidP="00D556F7">
      <w:r w:rsidRPr="00D556F7">
        <w:t>The Supreme Court’s decision to end Chevron Deference adds complexity to the task, limiting the adaptability of agencies and shifting the burden onto Congress to enact clearer, more precise laws. This legislative gap highlights the importance of a centralized regulatory body that can provide cohesive oversight and adapt to the rapidly changing AI landscape.</w:t>
      </w:r>
    </w:p>
    <w:p w14:paraId="1069228A" w14:textId="77777777" w:rsidR="00D556F7" w:rsidRPr="00D556F7" w:rsidRDefault="00D556F7" w:rsidP="00D556F7">
      <w:r w:rsidRPr="00D556F7">
        <w:t xml:space="preserve">Ultimately, the solution lies in striking a balance: fostering innovation while protecting society from potential </w:t>
      </w:r>
      <w:proofErr w:type="gramStart"/>
      <w:r w:rsidRPr="00D556F7">
        <w:t>harms</w:t>
      </w:r>
      <w:proofErr w:type="gramEnd"/>
      <w:r w:rsidRPr="00D556F7">
        <w:t>. Establishing an independent regulatory agency, aligning with global ethical standards, promoting transparency, and supporting adaptive legislation are key steps toward achieving this balance. AI’s potential to reshape industries, economies, and daily life is immense, but so are the responsibilities that come with it.</w:t>
      </w:r>
    </w:p>
    <w:p w14:paraId="2C5ED1CA" w14:textId="77777777" w:rsidR="00D556F7" w:rsidRPr="00D556F7" w:rsidRDefault="00D556F7" w:rsidP="00D556F7">
      <w:r w:rsidRPr="00D556F7">
        <w:t>As we stand on the threshold of a new technological era, the choices made now will determine whether AI serves as a tool for empowerment or a source of unforeseen challenges. By committing to thoughtful, balanced regulation, the U.S. can ensure that the promise of AI is realized in a way that benefits everyone, protecting public welfare while supporting progress.</w:t>
      </w:r>
    </w:p>
    <w:p w14:paraId="2E97F72A" w14:textId="53F78A1D" w:rsidR="00930BAE" w:rsidRDefault="00930BAE">
      <w:r>
        <w:br/>
      </w:r>
      <w:r>
        <w:br/>
      </w:r>
      <w:r>
        <w:br/>
      </w:r>
      <w:r>
        <w:br/>
      </w:r>
      <w:r>
        <w:br/>
      </w:r>
      <w:r>
        <w:br/>
      </w:r>
      <w:r>
        <w:br/>
      </w:r>
    </w:p>
    <w:sectPr w:rsidR="00930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84C7E"/>
    <w:multiLevelType w:val="multilevel"/>
    <w:tmpl w:val="7E7829AA"/>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86BC8"/>
    <w:multiLevelType w:val="multilevel"/>
    <w:tmpl w:val="72ACA9F6"/>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486F"/>
    <w:multiLevelType w:val="multilevel"/>
    <w:tmpl w:val="0ED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6235B"/>
    <w:multiLevelType w:val="multilevel"/>
    <w:tmpl w:val="458ECBDA"/>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62E50"/>
    <w:multiLevelType w:val="multilevel"/>
    <w:tmpl w:val="997821B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1279E"/>
    <w:multiLevelType w:val="multilevel"/>
    <w:tmpl w:val="33B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83312"/>
    <w:multiLevelType w:val="multilevel"/>
    <w:tmpl w:val="EF9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D6187"/>
    <w:multiLevelType w:val="multilevel"/>
    <w:tmpl w:val="63C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3070D"/>
    <w:multiLevelType w:val="multilevel"/>
    <w:tmpl w:val="5D166CB4"/>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0082B"/>
    <w:multiLevelType w:val="multilevel"/>
    <w:tmpl w:val="F8C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0183A"/>
    <w:multiLevelType w:val="multilevel"/>
    <w:tmpl w:val="6018D1C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756B0"/>
    <w:multiLevelType w:val="multilevel"/>
    <w:tmpl w:val="A128FB0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78267">
    <w:abstractNumId w:val="3"/>
  </w:num>
  <w:num w:numId="2" w16cid:durableId="211043218">
    <w:abstractNumId w:val="4"/>
  </w:num>
  <w:num w:numId="3" w16cid:durableId="418020644">
    <w:abstractNumId w:val="11"/>
  </w:num>
  <w:num w:numId="4" w16cid:durableId="1725636484">
    <w:abstractNumId w:val="1"/>
  </w:num>
  <w:num w:numId="5" w16cid:durableId="1455171285">
    <w:abstractNumId w:val="8"/>
  </w:num>
  <w:num w:numId="6" w16cid:durableId="963850284">
    <w:abstractNumId w:val="0"/>
  </w:num>
  <w:num w:numId="7" w16cid:durableId="1806386114">
    <w:abstractNumId w:val="10"/>
  </w:num>
  <w:num w:numId="8" w16cid:durableId="2019501006">
    <w:abstractNumId w:val="5"/>
  </w:num>
  <w:num w:numId="9" w16cid:durableId="344791974">
    <w:abstractNumId w:val="6"/>
  </w:num>
  <w:num w:numId="10" w16cid:durableId="182285137">
    <w:abstractNumId w:val="9"/>
  </w:num>
  <w:num w:numId="11" w16cid:durableId="1936471127">
    <w:abstractNumId w:val="7"/>
  </w:num>
  <w:num w:numId="12" w16cid:durableId="1634406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44"/>
    <w:rsid w:val="00015B5A"/>
    <w:rsid w:val="0009663C"/>
    <w:rsid w:val="003746BB"/>
    <w:rsid w:val="00630FD6"/>
    <w:rsid w:val="007F655A"/>
    <w:rsid w:val="00835D4A"/>
    <w:rsid w:val="0087075D"/>
    <w:rsid w:val="00930BAE"/>
    <w:rsid w:val="0095365D"/>
    <w:rsid w:val="009A0F44"/>
    <w:rsid w:val="009D3632"/>
    <w:rsid w:val="00A7723F"/>
    <w:rsid w:val="00B91579"/>
    <w:rsid w:val="00C909D9"/>
    <w:rsid w:val="00D556F7"/>
    <w:rsid w:val="00FB7E2D"/>
    <w:rsid w:val="00FC1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B868"/>
  <w15:chartTrackingRefBased/>
  <w15:docId w15:val="{60241ADC-EFA8-4450-A1C1-918A4DE8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F44"/>
    <w:rPr>
      <w:rFonts w:eastAsiaTheme="majorEastAsia" w:cstheme="majorBidi"/>
      <w:color w:val="272727" w:themeColor="text1" w:themeTint="D8"/>
    </w:rPr>
  </w:style>
  <w:style w:type="paragraph" w:styleId="Title">
    <w:name w:val="Title"/>
    <w:basedOn w:val="Normal"/>
    <w:next w:val="Normal"/>
    <w:link w:val="TitleChar"/>
    <w:uiPriority w:val="10"/>
    <w:qFormat/>
    <w:rsid w:val="009A0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F44"/>
    <w:pPr>
      <w:spacing w:before="160"/>
      <w:jc w:val="center"/>
    </w:pPr>
    <w:rPr>
      <w:i/>
      <w:iCs/>
      <w:color w:val="404040" w:themeColor="text1" w:themeTint="BF"/>
    </w:rPr>
  </w:style>
  <w:style w:type="character" w:customStyle="1" w:styleId="QuoteChar">
    <w:name w:val="Quote Char"/>
    <w:basedOn w:val="DefaultParagraphFont"/>
    <w:link w:val="Quote"/>
    <w:uiPriority w:val="29"/>
    <w:rsid w:val="009A0F44"/>
    <w:rPr>
      <w:i/>
      <w:iCs/>
      <w:color w:val="404040" w:themeColor="text1" w:themeTint="BF"/>
    </w:rPr>
  </w:style>
  <w:style w:type="paragraph" w:styleId="ListParagraph">
    <w:name w:val="List Paragraph"/>
    <w:basedOn w:val="Normal"/>
    <w:uiPriority w:val="34"/>
    <w:qFormat/>
    <w:rsid w:val="009A0F44"/>
    <w:pPr>
      <w:ind w:left="720"/>
      <w:contextualSpacing/>
    </w:pPr>
  </w:style>
  <w:style w:type="character" w:styleId="IntenseEmphasis">
    <w:name w:val="Intense Emphasis"/>
    <w:basedOn w:val="DefaultParagraphFont"/>
    <w:uiPriority w:val="21"/>
    <w:qFormat/>
    <w:rsid w:val="009A0F44"/>
    <w:rPr>
      <w:i/>
      <w:iCs/>
      <w:color w:val="0F4761" w:themeColor="accent1" w:themeShade="BF"/>
    </w:rPr>
  </w:style>
  <w:style w:type="paragraph" w:styleId="IntenseQuote">
    <w:name w:val="Intense Quote"/>
    <w:basedOn w:val="Normal"/>
    <w:next w:val="Normal"/>
    <w:link w:val="IntenseQuoteChar"/>
    <w:uiPriority w:val="30"/>
    <w:qFormat/>
    <w:rsid w:val="009A0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F44"/>
    <w:rPr>
      <w:i/>
      <w:iCs/>
      <w:color w:val="0F4761" w:themeColor="accent1" w:themeShade="BF"/>
    </w:rPr>
  </w:style>
  <w:style w:type="character" w:styleId="IntenseReference">
    <w:name w:val="Intense Reference"/>
    <w:basedOn w:val="DefaultParagraphFont"/>
    <w:uiPriority w:val="32"/>
    <w:qFormat/>
    <w:rsid w:val="009A0F44"/>
    <w:rPr>
      <w:b/>
      <w:bCs/>
      <w:smallCaps/>
      <w:color w:val="0F4761" w:themeColor="accent1" w:themeShade="BF"/>
      <w:spacing w:val="5"/>
    </w:rPr>
  </w:style>
  <w:style w:type="character" w:styleId="Hyperlink">
    <w:name w:val="Hyperlink"/>
    <w:basedOn w:val="DefaultParagraphFont"/>
    <w:uiPriority w:val="99"/>
    <w:unhideWhenUsed/>
    <w:rsid w:val="00630FD6"/>
    <w:rPr>
      <w:color w:val="467886" w:themeColor="hyperlink"/>
      <w:u w:val="single"/>
    </w:rPr>
  </w:style>
  <w:style w:type="character" w:styleId="UnresolvedMention">
    <w:name w:val="Unresolved Mention"/>
    <w:basedOn w:val="DefaultParagraphFont"/>
    <w:uiPriority w:val="99"/>
    <w:semiHidden/>
    <w:unhideWhenUsed/>
    <w:rsid w:val="00630FD6"/>
    <w:rPr>
      <w:color w:val="605E5C"/>
      <w:shd w:val="clear" w:color="auto" w:fill="E1DFDD"/>
    </w:rPr>
  </w:style>
  <w:style w:type="character" w:styleId="FollowedHyperlink">
    <w:name w:val="FollowedHyperlink"/>
    <w:basedOn w:val="DefaultParagraphFont"/>
    <w:uiPriority w:val="99"/>
    <w:semiHidden/>
    <w:unhideWhenUsed/>
    <w:rsid w:val="00930B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93073">
      <w:bodyDiv w:val="1"/>
      <w:marLeft w:val="0"/>
      <w:marRight w:val="0"/>
      <w:marTop w:val="0"/>
      <w:marBottom w:val="0"/>
      <w:divBdr>
        <w:top w:val="none" w:sz="0" w:space="0" w:color="auto"/>
        <w:left w:val="none" w:sz="0" w:space="0" w:color="auto"/>
        <w:bottom w:val="none" w:sz="0" w:space="0" w:color="auto"/>
        <w:right w:val="none" w:sz="0" w:space="0" w:color="auto"/>
      </w:divBdr>
      <w:divsChild>
        <w:div w:id="653415217">
          <w:marLeft w:val="0"/>
          <w:marRight w:val="0"/>
          <w:marTop w:val="150"/>
          <w:marBottom w:val="0"/>
          <w:divBdr>
            <w:top w:val="none" w:sz="0" w:space="0" w:color="auto"/>
            <w:left w:val="none" w:sz="0" w:space="0" w:color="auto"/>
            <w:bottom w:val="none" w:sz="0" w:space="0" w:color="auto"/>
            <w:right w:val="none" w:sz="0" w:space="0" w:color="auto"/>
          </w:divBdr>
        </w:div>
        <w:div w:id="272174091">
          <w:marLeft w:val="0"/>
          <w:marRight w:val="0"/>
          <w:marTop w:val="0"/>
          <w:marBottom w:val="0"/>
          <w:divBdr>
            <w:top w:val="none" w:sz="0" w:space="0" w:color="auto"/>
            <w:left w:val="none" w:sz="0" w:space="0" w:color="auto"/>
            <w:bottom w:val="none" w:sz="0" w:space="0" w:color="auto"/>
            <w:right w:val="none" w:sz="0" w:space="0" w:color="auto"/>
          </w:divBdr>
        </w:div>
      </w:divsChild>
    </w:div>
    <w:div w:id="150143151">
      <w:bodyDiv w:val="1"/>
      <w:marLeft w:val="0"/>
      <w:marRight w:val="0"/>
      <w:marTop w:val="0"/>
      <w:marBottom w:val="0"/>
      <w:divBdr>
        <w:top w:val="none" w:sz="0" w:space="0" w:color="auto"/>
        <w:left w:val="none" w:sz="0" w:space="0" w:color="auto"/>
        <w:bottom w:val="none" w:sz="0" w:space="0" w:color="auto"/>
        <w:right w:val="none" w:sz="0" w:space="0" w:color="auto"/>
      </w:divBdr>
    </w:div>
    <w:div w:id="155805961">
      <w:bodyDiv w:val="1"/>
      <w:marLeft w:val="0"/>
      <w:marRight w:val="0"/>
      <w:marTop w:val="0"/>
      <w:marBottom w:val="0"/>
      <w:divBdr>
        <w:top w:val="none" w:sz="0" w:space="0" w:color="auto"/>
        <w:left w:val="none" w:sz="0" w:space="0" w:color="auto"/>
        <w:bottom w:val="none" w:sz="0" w:space="0" w:color="auto"/>
        <w:right w:val="none" w:sz="0" w:space="0" w:color="auto"/>
      </w:divBdr>
      <w:divsChild>
        <w:div w:id="359820916">
          <w:marLeft w:val="0"/>
          <w:marRight w:val="0"/>
          <w:marTop w:val="150"/>
          <w:marBottom w:val="0"/>
          <w:divBdr>
            <w:top w:val="none" w:sz="0" w:space="0" w:color="auto"/>
            <w:left w:val="none" w:sz="0" w:space="0" w:color="auto"/>
            <w:bottom w:val="none" w:sz="0" w:space="0" w:color="auto"/>
            <w:right w:val="none" w:sz="0" w:space="0" w:color="auto"/>
          </w:divBdr>
        </w:div>
        <w:div w:id="323779336">
          <w:marLeft w:val="0"/>
          <w:marRight w:val="0"/>
          <w:marTop w:val="0"/>
          <w:marBottom w:val="0"/>
          <w:divBdr>
            <w:top w:val="none" w:sz="0" w:space="0" w:color="auto"/>
            <w:left w:val="none" w:sz="0" w:space="0" w:color="auto"/>
            <w:bottom w:val="none" w:sz="0" w:space="0" w:color="auto"/>
            <w:right w:val="none" w:sz="0" w:space="0" w:color="auto"/>
          </w:divBdr>
        </w:div>
      </w:divsChild>
    </w:div>
    <w:div w:id="194195342">
      <w:bodyDiv w:val="1"/>
      <w:marLeft w:val="0"/>
      <w:marRight w:val="0"/>
      <w:marTop w:val="0"/>
      <w:marBottom w:val="0"/>
      <w:divBdr>
        <w:top w:val="none" w:sz="0" w:space="0" w:color="auto"/>
        <w:left w:val="none" w:sz="0" w:space="0" w:color="auto"/>
        <w:bottom w:val="none" w:sz="0" w:space="0" w:color="auto"/>
        <w:right w:val="none" w:sz="0" w:space="0" w:color="auto"/>
      </w:divBdr>
    </w:div>
    <w:div w:id="337268197">
      <w:bodyDiv w:val="1"/>
      <w:marLeft w:val="0"/>
      <w:marRight w:val="0"/>
      <w:marTop w:val="0"/>
      <w:marBottom w:val="0"/>
      <w:divBdr>
        <w:top w:val="none" w:sz="0" w:space="0" w:color="auto"/>
        <w:left w:val="none" w:sz="0" w:space="0" w:color="auto"/>
        <w:bottom w:val="none" w:sz="0" w:space="0" w:color="auto"/>
        <w:right w:val="none" w:sz="0" w:space="0" w:color="auto"/>
      </w:divBdr>
    </w:div>
    <w:div w:id="533813612">
      <w:bodyDiv w:val="1"/>
      <w:marLeft w:val="0"/>
      <w:marRight w:val="0"/>
      <w:marTop w:val="0"/>
      <w:marBottom w:val="0"/>
      <w:divBdr>
        <w:top w:val="none" w:sz="0" w:space="0" w:color="auto"/>
        <w:left w:val="none" w:sz="0" w:space="0" w:color="auto"/>
        <w:bottom w:val="none" w:sz="0" w:space="0" w:color="auto"/>
        <w:right w:val="none" w:sz="0" w:space="0" w:color="auto"/>
      </w:divBdr>
    </w:div>
    <w:div w:id="548569008">
      <w:bodyDiv w:val="1"/>
      <w:marLeft w:val="0"/>
      <w:marRight w:val="0"/>
      <w:marTop w:val="0"/>
      <w:marBottom w:val="0"/>
      <w:divBdr>
        <w:top w:val="none" w:sz="0" w:space="0" w:color="auto"/>
        <w:left w:val="none" w:sz="0" w:space="0" w:color="auto"/>
        <w:bottom w:val="none" w:sz="0" w:space="0" w:color="auto"/>
        <w:right w:val="none" w:sz="0" w:space="0" w:color="auto"/>
      </w:divBdr>
    </w:div>
    <w:div w:id="620260654">
      <w:bodyDiv w:val="1"/>
      <w:marLeft w:val="0"/>
      <w:marRight w:val="0"/>
      <w:marTop w:val="0"/>
      <w:marBottom w:val="0"/>
      <w:divBdr>
        <w:top w:val="none" w:sz="0" w:space="0" w:color="auto"/>
        <w:left w:val="none" w:sz="0" w:space="0" w:color="auto"/>
        <w:bottom w:val="none" w:sz="0" w:space="0" w:color="auto"/>
        <w:right w:val="none" w:sz="0" w:space="0" w:color="auto"/>
      </w:divBdr>
      <w:divsChild>
        <w:div w:id="1612972079">
          <w:marLeft w:val="0"/>
          <w:marRight w:val="0"/>
          <w:marTop w:val="0"/>
          <w:marBottom w:val="0"/>
          <w:divBdr>
            <w:top w:val="none" w:sz="0" w:space="0" w:color="auto"/>
            <w:left w:val="none" w:sz="0" w:space="0" w:color="auto"/>
            <w:bottom w:val="none" w:sz="0" w:space="0" w:color="auto"/>
            <w:right w:val="none" w:sz="0" w:space="0" w:color="auto"/>
          </w:divBdr>
          <w:divsChild>
            <w:div w:id="2077121395">
              <w:marLeft w:val="0"/>
              <w:marRight w:val="0"/>
              <w:marTop w:val="0"/>
              <w:marBottom w:val="0"/>
              <w:divBdr>
                <w:top w:val="none" w:sz="0" w:space="0" w:color="auto"/>
                <w:left w:val="none" w:sz="0" w:space="0" w:color="auto"/>
                <w:bottom w:val="none" w:sz="0" w:space="0" w:color="auto"/>
                <w:right w:val="none" w:sz="0" w:space="0" w:color="auto"/>
              </w:divBdr>
              <w:divsChild>
                <w:div w:id="1435591183">
                  <w:marLeft w:val="0"/>
                  <w:marRight w:val="0"/>
                  <w:marTop w:val="0"/>
                  <w:marBottom w:val="0"/>
                  <w:divBdr>
                    <w:top w:val="none" w:sz="0" w:space="0" w:color="auto"/>
                    <w:left w:val="none" w:sz="0" w:space="0" w:color="auto"/>
                    <w:bottom w:val="none" w:sz="0" w:space="0" w:color="auto"/>
                    <w:right w:val="none" w:sz="0" w:space="0" w:color="auto"/>
                  </w:divBdr>
                  <w:divsChild>
                    <w:div w:id="1875077857">
                      <w:marLeft w:val="0"/>
                      <w:marRight w:val="0"/>
                      <w:marTop w:val="0"/>
                      <w:marBottom w:val="0"/>
                      <w:divBdr>
                        <w:top w:val="none" w:sz="0" w:space="0" w:color="auto"/>
                        <w:left w:val="none" w:sz="0" w:space="0" w:color="auto"/>
                        <w:bottom w:val="none" w:sz="0" w:space="0" w:color="auto"/>
                        <w:right w:val="none" w:sz="0" w:space="0" w:color="auto"/>
                      </w:divBdr>
                      <w:divsChild>
                        <w:div w:id="658536659">
                          <w:marLeft w:val="0"/>
                          <w:marRight w:val="0"/>
                          <w:marTop w:val="0"/>
                          <w:marBottom w:val="0"/>
                          <w:divBdr>
                            <w:top w:val="none" w:sz="0" w:space="0" w:color="auto"/>
                            <w:left w:val="none" w:sz="0" w:space="0" w:color="auto"/>
                            <w:bottom w:val="none" w:sz="0" w:space="0" w:color="auto"/>
                            <w:right w:val="none" w:sz="0" w:space="0" w:color="auto"/>
                          </w:divBdr>
                          <w:divsChild>
                            <w:div w:id="10744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396359">
      <w:bodyDiv w:val="1"/>
      <w:marLeft w:val="0"/>
      <w:marRight w:val="0"/>
      <w:marTop w:val="0"/>
      <w:marBottom w:val="0"/>
      <w:divBdr>
        <w:top w:val="none" w:sz="0" w:space="0" w:color="auto"/>
        <w:left w:val="none" w:sz="0" w:space="0" w:color="auto"/>
        <w:bottom w:val="none" w:sz="0" w:space="0" w:color="auto"/>
        <w:right w:val="none" w:sz="0" w:space="0" w:color="auto"/>
      </w:divBdr>
    </w:div>
    <w:div w:id="935164285">
      <w:bodyDiv w:val="1"/>
      <w:marLeft w:val="0"/>
      <w:marRight w:val="0"/>
      <w:marTop w:val="0"/>
      <w:marBottom w:val="0"/>
      <w:divBdr>
        <w:top w:val="none" w:sz="0" w:space="0" w:color="auto"/>
        <w:left w:val="none" w:sz="0" w:space="0" w:color="auto"/>
        <w:bottom w:val="none" w:sz="0" w:space="0" w:color="auto"/>
        <w:right w:val="none" w:sz="0" w:space="0" w:color="auto"/>
      </w:divBdr>
    </w:div>
    <w:div w:id="1024089502">
      <w:bodyDiv w:val="1"/>
      <w:marLeft w:val="0"/>
      <w:marRight w:val="0"/>
      <w:marTop w:val="0"/>
      <w:marBottom w:val="0"/>
      <w:divBdr>
        <w:top w:val="none" w:sz="0" w:space="0" w:color="auto"/>
        <w:left w:val="none" w:sz="0" w:space="0" w:color="auto"/>
        <w:bottom w:val="none" w:sz="0" w:space="0" w:color="auto"/>
        <w:right w:val="none" w:sz="0" w:space="0" w:color="auto"/>
      </w:divBdr>
    </w:div>
    <w:div w:id="1029836788">
      <w:bodyDiv w:val="1"/>
      <w:marLeft w:val="0"/>
      <w:marRight w:val="0"/>
      <w:marTop w:val="0"/>
      <w:marBottom w:val="0"/>
      <w:divBdr>
        <w:top w:val="none" w:sz="0" w:space="0" w:color="auto"/>
        <w:left w:val="none" w:sz="0" w:space="0" w:color="auto"/>
        <w:bottom w:val="none" w:sz="0" w:space="0" w:color="auto"/>
        <w:right w:val="none" w:sz="0" w:space="0" w:color="auto"/>
      </w:divBdr>
    </w:div>
    <w:div w:id="1056273049">
      <w:bodyDiv w:val="1"/>
      <w:marLeft w:val="0"/>
      <w:marRight w:val="0"/>
      <w:marTop w:val="0"/>
      <w:marBottom w:val="0"/>
      <w:divBdr>
        <w:top w:val="none" w:sz="0" w:space="0" w:color="auto"/>
        <w:left w:val="none" w:sz="0" w:space="0" w:color="auto"/>
        <w:bottom w:val="none" w:sz="0" w:space="0" w:color="auto"/>
        <w:right w:val="none" w:sz="0" w:space="0" w:color="auto"/>
      </w:divBdr>
    </w:div>
    <w:div w:id="1109280533">
      <w:bodyDiv w:val="1"/>
      <w:marLeft w:val="0"/>
      <w:marRight w:val="0"/>
      <w:marTop w:val="0"/>
      <w:marBottom w:val="0"/>
      <w:divBdr>
        <w:top w:val="none" w:sz="0" w:space="0" w:color="auto"/>
        <w:left w:val="none" w:sz="0" w:space="0" w:color="auto"/>
        <w:bottom w:val="none" w:sz="0" w:space="0" w:color="auto"/>
        <w:right w:val="none" w:sz="0" w:space="0" w:color="auto"/>
      </w:divBdr>
      <w:divsChild>
        <w:div w:id="1806200227">
          <w:marLeft w:val="0"/>
          <w:marRight w:val="0"/>
          <w:marTop w:val="0"/>
          <w:marBottom w:val="0"/>
          <w:divBdr>
            <w:top w:val="none" w:sz="0" w:space="0" w:color="auto"/>
            <w:left w:val="none" w:sz="0" w:space="0" w:color="auto"/>
            <w:bottom w:val="none" w:sz="0" w:space="0" w:color="auto"/>
            <w:right w:val="none" w:sz="0" w:space="0" w:color="auto"/>
          </w:divBdr>
          <w:divsChild>
            <w:div w:id="2045329472">
              <w:marLeft w:val="0"/>
              <w:marRight w:val="0"/>
              <w:marTop w:val="0"/>
              <w:marBottom w:val="0"/>
              <w:divBdr>
                <w:top w:val="none" w:sz="0" w:space="0" w:color="auto"/>
                <w:left w:val="none" w:sz="0" w:space="0" w:color="auto"/>
                <w:bottom w:val="none" w:sz="0" w:space="0" w:color="auto"/>
                <w:right w:val="none" w:sz="0" w:space="0" w:color="auto"/>
              </w:divBdr>
              <w:divsChild>
                <w:div w:id="1969242703">
                  <w:marLeft w:val="0"/>
                  <w:marRight w:val="0"/>
                  <w:marTop w:val="0"/>
                  <w:marBottom w:val="0"/>
                  <w:divBdr>
                    <w:top w:val="none" w:sz="0" w:space="0" w:color="auto"/>
                    <w:left w:val="none" w:sz="0" w:space="0" w:color="auto"/>
                    <w:bottom w:val="none" w:sz="0" w:space="0" w:color="auto"/>
                    <w:right w:val="none" w:sz="0" w:space="0" w:color="auto"/>
                  </w:divBdr>
                </w:div>
                <w:div w:id="171342056">
                  <w:marLeft w:val="0"/>
                  <w:marRight w:val="0"/>
                  <w:marTop w:val="0"/>
                  <w:marBottom w:val="0"/>
                  <w:divBdr>
                    <w:top w:val="none" w:sz="0" w:space="0" w:color="auto"/>
                    <w:left w:val="none" w:sz="0" w:space="0" w:color="auto"/>
                    <w:bottom w:val="none" w:sz="0" w:space="0" w:color="auto"/>
                    <w:right w:val="none" w:sz="0" w:space="0" w:color="auto"/>
                  </w:divBdr>
                  <w:divsChild>
                    <w:div w:id="1452477454">
                      <w:marLeft w:val="0"/>
                      <w:marRight w:val="0"/>
                      <w:marTop w:val="0"/>
                      <w:marBottom w:val="0"/>
                      <w:divBdr>
                        <w:top w:val="none" w:sz="0" w:space="0" w:color="auto"/>
                        <w:left w:val="none" w:sz="0" w:space="0" w:color="auto"/>
                        <w:bottom w:val="none" w:sz="0" w:space="0" w:color="auto"/>
                        <w:right w:val="none" w:sz="0" w:space="0" w:color="auto"/>
                      </w:divBdr>
                      <w:divsChild>
                        <w:div w:id="1997148590">
                          <w:marLeft w:val="0"/>
                          <w:marRight w:val="0"/>
                          <w:marTop w:val="0"/>
                          <w:marBottom w:val="0"/>
                          <w:divBdr>
                            <w:top w:val="none" w:sz="0" w:space="0" w:color="auto"/>
                            <w:left w:val="none" w:sz="0" w:space="0" w:color="auto"/>
                            <w:bottom w:val="none" w:sz="0" w:space="0" w:color="auto"/>
                            <w:right w:val="none" w:sz="0" w:space="0" w:color="auto"/>
                          </w:divBdr>
                          <w:divsChild>
                            <w:div w:id="16949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61469">
      <w:bodyDiv w:val="1"/>
      <w:marLeft w:val="0"/>
      <w:marRight w:val="0"/>
      <w:marTop w:val="0"/>
      <w:marBottom w:val="0"/>
      <w:divBdr>
        <w:top w:val="none" w:sz="0" w:space="0" w:color="auto"/>
        <w:left w:val="none" w:sz="0" w:space="0" w:color="auto"/>
        <w:bottom w:val="none" w:sz="0" w:space="0" w:color="auto"/>
        <w:right w:val="none" w:sz="0" w:space="0" w:color="auto"/>
      </w:divBdr>
      <w:divsChild>
        <w:div w:id="1723753744">
          <w:marLeft w:val="0"/>
          <w:marRight w:val="0"/>
          <w:marTop w:val="0"/>
          <w:marBottom w:val="0"/>
          <w:divBdr>
            <w:top w:val="none" w:sz="0" w:space="0" w:color="auto"/>
            <w:left w:val="none" w:sz="0" w:space="0" w:color="auto"/>
            <w:bottom w:val="none" w:sz="0" w:space="0" w:color="auto"/>
            <w:right w:val="none" w:sz="0" w:space="0" w:color="auto"/>
          </w:divBdr>
        </w:div>
      </w:divsChild>
    </w:div>
    <w:div w:id="1225946057">
      <w:bodyDiv w:val="1"/>
      <w:marLeft w:val="0"/>
      <w:marRight w:val="0"/>
      <w:marTop w:val="0"/>
      <w:marBottom w:val="0"/>
      <w:divBdr>
        <w:top w:val="none" w:sz="0" w:space="0" w:color="auto"/>
        <w:left w:val="none" w:sz="0" w:space="0" w:color="auto"/>
        <w:bottom w:val="none" w:sz="0" w:space="0" w:color="auto"/>
        <w:right w:val="none" w:sz="0" w:space="0" w:color="auto"/>
      </w:divBdr>
      <w:divsChild>
        <w:div w:id="828983629">
          <w:marLeft w:val="0"/>
          <w:marRight w:val="0"/>
          <w:marTop w:val="150"/>
          <w:marBottom w:val="0"/>
          <w:divBdr>
            <w:top w:val="none" w:sz="0" w:space="0" w:color="auto"/>
            <w:left w:val="none" w:sz="0" w:space="0" w:color="auto"/>
            <w:bottom w:val="none" w:sz="0" w:space="0" w:color="auto"/>
            <w:right w:val="none" w:sz="0" w:space="0" w:color="auto"/>
          </w:divBdr>
        </w:div>
        <w:div w:id="677150220">
          <w:marLeft w:val="0"/>
          <w:marRight w:val="0"/>
          <w:marTop w:val="0"/>
          <w:marBottom w:val="0"/>
          <w:divBdr>
            <w:top w:val="none" w:sz="0" w:space="0" w:color="auto"/>
            <w:left w:val="none" w:sz="0" w:space="0" w:color="auto"/>
            <w:bottom w:val="none" w:sz="0" w:space="0" w:color="auto"/>
            <w:right w:val="none" w:sz="0" w:space="0" w:color="auto"/>
          </w:divBdr>
        </w:div>
      </w:divsChild>
    </w:div>
    <w:div w:id="1249656056">
      <w:bodyDiv w:val="1"/>
      <w:marLeft w:val="0"/>
      <w:marRight w:val="0"/>
      <w:marTop w:val="0"/>
      <w:marBottom w:val="0"/>
      <w:divBdr>
        <w:top w:val="none" w:sz="0" w:space="0" w:color="auto"/>
        <w:left w:val="none" w:sz="0" w:space="0" w:color="auto"/>
        <w:bottom w:val="none" w:sz="0" w:space="0" w:color="auto"/>
        <w:right w:val="none" w:sz="0" w:space="0" w:color="auto"/>
      </w:divBdr>
      <w:divsChild>
        <w:div w:id="2074572737">
          <w:marLeft w:val="0"/>
          <w:marRight w:val="0"/>
          <w:marTop w:val="0"/>
          <w:marBottom w:val="0"/>
          <w:divBdr>
            <w:top w:val="none" w:sz="0" w:space="0" w:color="auto"/>
            <w:left w:val="none" w:sz="0" w:space="0" w:color="auto"/>
            <w:bottom w:val="none" w:sz="0" w:space="0" w:color="auto"/>
            <w:right w:val="none" w:sz="0" w:space="0" w:color="auto"/>
          </w:divBdr>
          <w:divsChild>
            <w:div w:id="683938387">
              <w:marLeft w:val="0"/>
              <w:marRight w:val="0"/>
              <w:marTop w:val="0"/>
              <w:marBottom w:val="0"/>
              <w:divBdr>
                <w:top w:val="none" w:sz="0" w:space="0" w:color="auto"/>
                <w:left w:val="none" w:sz="0" w:space="0" w:color="auto"/>
                <w:bottom w:val="none" w:sz="0" w:space="0" w:color="auto"/>
                <w:right w:val="none" w:sz="0" w:space="0" w:color="auto"/>
              </w:divBdr>
              <w:divsChild>
                <w:div w:id="972953216">
                  <w:marLeft w:val="0"/>
                  <w:marRight w:val="0"/>
                  <w:marTop w:val="0"/>
                  <w:marBottom w:val="0"/>
                  <w:divBdr>
                    <w:top w:val="none" w:sz="0" w:space="0" w:color="auto"/>
                    <w:left w:val="none" w:sz="0" w:space="0" w:color="auto"/>
                    <w:bottom w:val="none" w:sz="0" w:space="0" w:color="auto"/>
                    <w:right w:val="none" w:sz="0" w:space="0" w:color="auto"/>
                  </w:divBdr>
                  <w:divsChild>
                    <w:div w:id="325331205">
                      <w:marLeft w:val="0"/>
                      <w:marRight w:val="0"/>
                      <w:marTop w:val="0"/>
                      <w:marBottom w:val="0"/>
                      <w:divBdr>
                        <w:top w:val="none" w:sz="0" w:space="0" w:color="auto"/>
                        <w:left w:val="none" w:sz="0" w:space="0" w:color="auto"/>
                        <w:bottom w:val="none" w:sz="0" w:space="0" w:color="auto"/>
                        <w:right w:val="none" w:sz="0" w:space="0" w:color="auto"/>
                      </w:divBdr>
                      <w:divsChild>
                        <w:div w:id="1050809302">
                          <w:marLeft w:val="0"/>
                          <w:marRight w:val="0"/>
                          <w:marTop w:val="0"/>
                          <w:marBottom w:val="0"/>
                          <w:divBdr>
                            <w:top w:val="none" w:sz="0" w:space="0" w:color="auto"/>
                            <w:left w:val="none" w:sz="0" w:space="0" w:color="auto"/>
                            <w:bottom w:val="none" w:sz="0" w:space="0" w:color="auto"/>
                            <w:right w:val="none" w:sz="0" w:space="0" w:color="auto"/>
                          </w:divBdr>
                          <w:divsChild>
                            <w:div w:id="1292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293451">
      <w:bodyDiv w:val="1"/>
      <w:marLeft w:val="0"/>
      <w:marRight w:val="0"/>
      <w:marTop w:val="0"/>
      <w:marBottom w:val="0"/>
      <w:divBdr>
        <w:top w:val="none" w:sz="0" w:space="0" w:color="auto"/>
        <w:left w:val="none" w:sz="0" w:space="0" w:color="auto"/>
        <w:bottom w:val="none" w:sz="0" w:space="0" w:color="auto"/>
        <w:right w:val="none" w:sz="0" w:space="0" w:color="auto"/>
      </w:divBdr>
    </w:div>
    <w:div w:id="1304772382">
      <w:bodyDiv w:val="1"/>
      <w:marLeft w:val="0"/>
      <w:marRight w:val="0"/>
      <w:marTop w:val="0"/>
      <w:marBottom w:val="0"/>
      <w:divBdr>
        <w:top w:val="none" w:sz="0" w:space="0" w:color="auto"/>
        <w:left w:val="none" w:sz="0" w:space="0" w:color="auto"/>
        <w:bottom w:val="none" w:sz="0" w:space="0" w:color="auto"/>
        <w:right w:val="none" w:sz="0" w:space="0" w:color="auto"/>
      </w:divBdr>
    </w:div>
    <w:div w:id="1320234986">
      <w:bodyDiv w:val="1"/>
      <w:marLeft w:val="0"/>
      <w:marRight w:val="0"/>
      <w:marTop w:val="0"/>
      <w:marBottom w:val="0"/>
      <w:divBdr>
        <w:top w:val="none" w:sz="0" w:space="0" w:color="auto"/>
        <w:left w:val="none" w:sz="0" w:space="0" w:color="auto"/>
        <w:bottom w:val="none" w:sz="0" w:space="0" w:color="auto"/>
        <w:right w:val="none" w:sz="0" w:space="0" w:color="auto"/>
      </w:divBdr>
      <w:divsChild>
        <w:div w:id="242643861">
          <w:marLeft w:val="0"/>
          <w:marRight w:val="0"/>
          <w:marTop w:val="0"/>
          <w:marBottom w:val="0"/>
          <w:divBdr>
            <w:top w:val="none" w:sz="0" w:space="0" w:color="auto"/>
            <w:left w:val="none" w:sz="0" w:space="0" w:color="auto"/>
            <w:bottom w:val="none" w:sz="0" w:space="0" w:color="auto"/>
            <w:right w:val="none" w:sz="0" w:space="0" w:color="auto"/>
          </w:divBdr>
        </w:div>
      </w:divsChild>
    </w:div>
    <w:div w:id="1549801833">
      <w:bodyDiv w:val="1"/>
      <w:marLeft w:val="0"/>
      <w:marRight w:val="0"/>
      <w:marTop w:val="0"/>
      <w:marBottom w:val="0"/>
      <w:divBdr>
        <w:top w:val="none" w:sz="0" w:space="0" w:color="auto"/>
        <w:left w:val="none" w:sz="0" w:space="0" w:color="auto"/>
        <w:bottom w:val="none" w:sz="0" w:space="0" w:color="auto"/>
        <w:right w:val="none" w:sz="0" w:space="0" w:color="auto"/>
      </w:divBdr>
    </w:div>
    <w:div w:id="1558543111">
      <w:bodyDiv w:val="1"/>
      <w:marLeft w:val="0"/>
      <w:marRight w:val="0"/>
      <w:marTop w:val="0"/>
      <w:marBottom w:val="0"/>
      <w:divBdr>
        <w:top w:val="none" w:sz="0" w:space="0" w:color="auto"/>
        <w:left w:val="none" w:sz="0" w:space="0" w:color="auto"/>
        <w:bottom w:val="none" w:sz="0" w:space="0" w:color="auto"/>
        <w:right w:val="none" w:sz="0" w:space="0" w:color="auto"/>
      </w:divBdr>
      <w:divsChild>
        <w:div w:id="261106413">
          <w:marLeft w:val="0"/>
          <w:marRight w:val="0"/>
          <w:marTop w:val="150"/>
          <w:marBottom w:val="0"/>
          <w:divBdr>
            <w:top w:val="none" w:sz="0" w:space="0" w:color="auto"/>
            <w:left w:val="none" w:sz="0" w:space="0" w:color="auto"/>
            <w:bottom w:val="none" w:sz="0" w:space="0" w:color="auto"/>
            <w:right w:val="none" w:sz="0" w:space="0" w:color="auto"/>
          </w:divBdr>
        </w:div>
        <w:div w:id="1555701114">
          <w:marLeft w:val="0"/>
          <w:marRight w:val="0"/>
          <w:marTop w:val="0"/>
          <w:marBottom w:val="0"/>
          <w:divBdr>
            <w:top w:val="none" w:sz="0" w:space="0" w:color="auto"/>
            <w:left w:val="none" w:sz="0" w:space="0" w:color="auto"/>
            <w:bottom w:val="none" w:sz="0" w:space="0" w:color="auto"/>
            <w:right w:val="none" w:sz="0" w:space="0" w:color="auto"/>
          </w:divBdr>
        </w:div>
      </w:divsChild>
    </w:div>
    <w:div w:id="1716660741">
      <w:bodyDiv w:val="1"/>
      <w:marLeft w:val="0"/>
      <w:marRight w:val="0"/>
      <w:marTop w:val="0"/>
      <w:marBottom w:val="0"/>
      <w:divBdr>
        <w:top w:val="none" w:sz="0" w:space="0" w:color="auto"/>
        <w:left w:val="none" w:sz="0" w:space="0" w:color="auto"/>
        <w:bottom w:val="none" w:sz="0" w:space="0" w:color="auto"/>
        <w:right w:val="none" w:sz="0" w:space="0" w:color="auto"/>
      </w:divBdr>
    </w:div>
    <w:div w:id="1723940823">
      <w:bodyDiv w:val="1"/>
      <w:marLeft w:val="0"/>
      <w:marRight w:val="0"/>
      <w:marTop w:val="0"/>
      <w:marBottom w:val="0"/>
      <w:divBdr>
        <w:top w:val="none" w:sz="0" w:space="0" w:color="auto"/>
        <w:left w:val="none" w:sz="0" w:space="0" w:color="auto"/>
        <w:bottom w:val="none" w:sz="0" w:space="0" w:color="auto"/>
        <w:right w:val="none" w:sz="0" w:space="0" w:color="auto"/>
      </w:divBdr>
      <w:divsChild>
        <w:div w:id="429816052">
          <w:marLeft w:val="0"/>
          <w:marRight w:val="0"/>
          <w:marTop w:val="150"/>
          <w:marBottom w:val="0"/>
          <w:divBdr>
            <w:top w:val="none" w:sz="0" w:space="0" w:color="auto"/>
            <w:left w:val="none" w:sz="0" w:space="0" w:color="auto"/>
            <w:bottom w:val="none" w:sz="0" w:space="0" w:color="auto"/>
            <w:right w:val="none" w:sz="0" w:space="0" w:color="auto"/>
          </w:divBdr>
        </w:div>
        <w:div w:id="1405490570">
          <w:marLeft w:val="0"/>
          <w:marRight w:val="0"/>
          <w:marTop w:val="0"/>
          <w:marBottom w:val="0"/>
          <w:divBdr>
            <w:top w:val="none" w:sz="0" w:space="0" w:color="auto"/>
            <w:left w:val="none" w:sz="0" w:space="0" w:color="auto"/>
            <w:bottom w:val="none" w:sz="0" w:space="0" w:color="auto"/>
            <w:right w:val="none" w:sz="0" w:space="0" w:color="auto"/>
          </w:divBdr>
        </w:div>
      </w:divsChild>
    </w:div>
    <w:div w:id="1924951523">
      <w:bodyDiv w:val="1"/>
      <w:marLeft w:val="0"/>
      <w:marRight w:val="0"/>
      <w:marTop w:val="0"/>
      <w:marBottom w:val="0"/>
      <w:divBdr>
        <w:top w:val="none" w:sz="0" w:space="0" w:color="auto"/>
        <w:left w:val="none" w:sz="0" w:space="0" w:color="auto"/>
        <w:bottom w:val="none" w:sz="0" w:space="0" w:color="auto"/>
        <w:right w:val="none" w:sz="0" w:space="0" w:color="auto"/>
      </w:divBdr>
      <w:divsChild>
        <w:div w:id="553741756">
          <w:marLeft w:val="0"/>
          <w:marRight w:val="0"/>
          <w:marTop w:val="0"/>
          <w:marBottom w:val="0"/>
          <w:divBdr>
            <w:top w:val="none" w:sz="0" w:space="0" w:color="auto"/>
            <w:left w:val="none" w:sz="0" w:space="0" w:color="auto"/>
            <w:bottom w:val="none" w:sz="0" w:space="0" w:color="auto"/>
            <w:right w:val="none" w:sz="0" w:space="0" w:color="auto"/>
          </w:divBdr>
          <w:divsChild>
            <w:div w:id="1321544508">
              <w:marLeft w:val="0"/>
              <w:marRight w:val="0"/>
              <w:marTop w:val="0"/>
              <w:marBottom w:val="0"/>
              <w:divBdr>
                <w:top w:val="none" w:sz="0" w:space="0" w:color="auto"/>
                <w:left w:val="none" w:sz="0" w:space="0" w:color="auto"/>
                <w:bottom w:val="none" w:sz="0" w:space="0" w:color="auto"/>
                <w:right w:val="none" w:sz="0" w:space="0" w:color="auto"/>
              </w:divBdr>
              <w:divsChild>
                <w:div w:id="1151872678">
                  <w:marLeft w:val="0"/>
                  <w:marRight w:val="0"/>
                  <w:marTop w:val="0"/>
                  <w:marBottom w:val="0"/>
                  <w:divBdr>
                    <w:top w:val="none" w:sz="0" w:space="0" w:color="auto"/>
                    <w:left w:val="none" w:sz="0" w:space="0" w:color="auto"/>
                    <w:bottom w:val="none" w:sz="0" w:space="0" w:color="auto"/>
                    <w:right w:val="none" w:sz="0" w:space="0" w:color="auto"/>
                  </w:divBdr>
                </w:div>
                <w:div w:id="1038967276">
                  <w:marLeft w:val="0"/>
                  <w:marRight w:val="0"/>
                  <w:marTop w:val="0"/>
                  <w:marBottom w:val="0"/>
                  <w:divBdr>
                    <w:top w:val="none" w:sz="0" w:space="0" w:color="auto"/>
                    <w:left w:val="none" w:sz="0" w:space="0" w:color="auto"/>
                    <w:bottom w:val="none" w:sz="0" w:space="0" w:color="auto"/>
                    <w:right w:val="none" w:sz="0" w:space="0" w:color="auto"/>
                  </w:divBdr>
                  <w:divsChild>
                    <w:div w:id="236210539">
                      <w:marLeft w:val="0"/>
                      <w:marRight w:val="0"/>
                      <w:marTop w:val="0"/>
                      <w:marBottom w:val="0"/>
                      <w:divBdr>
                        <w:top w:val="none" w:sz="0" w:space="0" w:color="auto"/>
                        <w:left w:val="none" w:sz="0" w:space="0" w:color="auto"/>
                        <w:bottom w:val="none" w:sz="0" w:space="0" w:color="auto"/>
                        <w:right w:val="none" w:sz="0" w:space="0" w:color="auto"/>
                      </w:divBdr>
                      <w:divsChild>
                        <w:div w:id="1019698313">
                          <w:marLeft w:val="0"/>
                          <w:marRight w:val="0"/>
                          <w:marTop w:val="0"/>
                          <w:marBottom w:val="0"/>
                          <w:divBdr>
                            <w:top w:val="none" w:sz="0" w:space="0" w:color="auto"/>
                            <w:left w:val="none" w:sz="0" w:space="0" w:color="auto"/>
                            <w:bottom w:val="none" w:sz="0" w:space="0" w:color="auto"/>
                            <w:right w:val="none" w:sz="0" w:space="0" w:color="auto"/>
                          </w:divBdr>
                          <w:divsChild>
                            <w:div w:id="4448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15823">
      <w:bodyDiv w:val="1"/>
      <w:marLeft w:val="0"/>
      <w:marRight w:val="0"/>
      <w:marTop w:val="0"/>
      <w:marBottom w:val="0"/>
      <w:divBdr>
        <w:top w:val="none" w:sz="0" w:space="0" w:color="auto"/>
        <w:left w:val="none" w:sz="0" w:space="0" w:color="auto"/>
        <w:bottom w:val="none" w:sz="0" w:space="0" w:color="auto"/>
        <w:right w:val="none" w:sz="0" w:space="0" w:color="auto"/>
      </w:divBdr>
      <w:divsChild>
        <w:div w:id="544100853">
          <w:marLeft w:val="0"/>
          <w:marRight w:val="0"/>
          <w:marTop w:val="150"/>
          <w:marBottom w:val="0"/>
          <w:divBdr>
            <w:top w:val="none" w:sz="0" w:space="0" w:color="auto"/>
            <w:left w:val="none" w:sz="0" w:space="0" w:color="auto"/>
            <w:bottom w:val="none" w:sz="0" w:space="0" w:color="auto"/>
            <w:right w:val="none" w:sz="0" w:space="0" w:color="auto"/>
          </w:divBdr>
        </w:div>
        <w:div w:id="1228223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policy.press/transcript-senate-judiciary-subcommittee-hearing-on-oversight-of-ai/" TargetMode="External"/><Relationship Id="rId13" Type="http://schemas.openxmlformats.org/officeDocument/2006/relationships/hyperlink" Target="https://law-ai.org/chevron-deference/" TargetMode="External"/><Relationship Id="rId18" Type="http://schemas.openxmlformats.org/officeDocument/2006/relationships/hyperlink" Target="https://www.congress.gov/bill/117th-congress/house-bill/6580" TargetMode="External"/><Relationship Id="rId3" Type="http://schemas.openxmlformats.org/officeDocument/2006/relationships/settings" Target="settings.xml"/><Relationship Id="rId21" Type="http://schemas.openxmlformats.org/officeDocument/2006/relationships/hyperlink" Target="https://www.brennancenter.org/our-work/research-reports/states-take-lead-regulating-artificial-intelligence" TargetMode="External"/><Relationship Id="rId7" Type="http://schemas.openxmlformats.org/officeDocument/2006/relationships/hyperlink" Target="https://blogs.microsoft.com/on-the-issues/2024/02/26/microsoft-ai-access-principles-responsible-mobile-world-congress/" TargetMode="External"/><Relationship Id="rId12" Type="http://schemas.openxmlformats.org/officeDocument/2006/relationships/hyperlink" Target="https://fpf.org/blog/chevron-decision-will-impact-privacy-and-ai-regulations/" TargetMode="External"/><Relationship Id="rId17" Type="http://schemas.openxmlformats.org/officeDocument/2006/relationships/hyperlink" Target="https://www.csg.org/2023/12/06/artificial-intelligence-in-the-states-emerging-legislation/" TargetMode="External"/><Relationship Id="rId2" Type="http://schemas.openxmlformats.org/officeDocument/2006/relationships/styles" Target="styles.xml"/><Relationship Id="rId16" Type="http://schemas.openxmlformats.org/officeDocument/2006/relationships/hyperlink" Target="https://www.venable.com/insights/publications/2024/chevron-decision/supreme-courts-chevron-decision-and-its-implicat" TargetMode="External"/><Relationship Id="rId20" Type="http://schemas.openxmlformats.org/officeDocument/2006/relationships/hyperlink" Target="https://www.csg.org/2023/12/06/artificial-intelligence-in-the-states-emerging-legislation/" TargetMode="External"/><Relationship Id="rId1" Type="http://schemas.openxmlformats.org/officeDocument/2006/relationships/numbering" Target="numbering.xml"/><Relationship Id="rId6" Type="http://schemas.openxmlformats.org/officeDocument/2006/relationships/hyperlink" Target="https://about.fb.com/news/2024/08/why-europe-should-embrace-open-source-ai-zuckerberg-ek/" TargetMode="External"/><Relationship Id="rId11" Type="http://schemas.openxmlformats.org/officeDocument/2006/relationships/hyperlink" Target="https://www.vox.com/future-perfect/2018/10/16/17978596/stephen-hawking-ai-climate-change-robots-future-universe-earth" TargetMode="External"/><Relationship Id="rId24" Type="http://schemas.openxmlformats.org/officeDocument/2006/relationships/theme" Target="theme/theme1.xml"/><Relationship Id="rId5" Type="http://schemas.openxmlformats.org/officeDocument/2006/relationships/hyperlink" Target="https://www.techadvisor.com/article/736534/sundar-pichai-calls-for-ai-regulation-in-major-op-ed.html" TargetMode="External"/><Relationship Id="rId15" Type="http://schemas.openxmlformats.org/officeDocument/2006/relationships/hyperlink" Target="https://www.venable.com/insights/publications/2024/chevron-decision/supreme-courts-chevron-decision-and-its-implicat" TargetMode="External"/><Relationship Id="rId23" Type="http://schemas.openxmlformats.org/officeDocument/2006/relationships/fontTable" Target="fontTable.xml"/><Relationship Id="rId10" Type="http://schemas.openxmlformats.org/officeDocument/2006/relationships/hyperlink" Target="https://www.brookings.edu/articles/senate-hearing-highlights-ai-harms-and-need-for-tougher-regulation/" TargetMode="External"/><Relationship Id="rId19" Type="http://schemas.openxmlformats.org/officeDocument/2006/relationships/hyperlink" Target="https://www.reuters.com/legal/legalindustry/comparing-eu-us-ai-legislation-dj-vu-2020-2024-10-21" TargetMode="External"/><Relationship Id="rId4" Type="http://schemas.openxmlformats.org/officeDocument/2006/relationships/webSettings" Target="webSettings.xml"/><Relationship Id="rId9" Type="http://schemas.openxmlformats.org/officeDocument/2006/relationships/hyperlink" Target="https://www.cam.ac.uk/research/news/the-best-or-worst-thing-to-happen-to-humanity-stephen-hawking-launches-centre-for-the-future-of" TargetMode="External"/><Relationship Id="rId14" Type="http://schemas.openxmlformats.org/officeDocument/2006/relationships/hyperlink" Target="https://techcrunch.com/2024/07/03/this-week-in-ai-with-chevrons-demise-ai-regulation-seems-dead-in-the-water/" TargetMode="External"/><Relationship Id="rId22" Type="http://schemas.openxmlformats.org/officeDocument/2006/relationships/hyperlink" Target="https://www.csg.org/2023/12/06/artificial-intelligence-in-the-states-emerging-legis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4350</Words>
  <Characters>24796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3</cp:revision>
  <dcterms:created xsi:type="dcterms:W3CDTF">2024-11-16T15:22:00Z</dcterms:created>
  <dcterms:modified xsi:type="dcterms:W3CDTF">2024-11-16T17:08:00Z</dcterms:modified>
</cp:coreProperties>
</file>