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3592" w14:textId="77777777" w:rsidR="00A60202" w:rsidRPr="00A60202" w:rsidRDefault="00A60202" w:rsidP="00A60202">
      <w:pPr>
        <w:rPr>
          <w:b/>
          <w:bCs/>
        </w:rPr>
      </w:pPr>
      <w:r w:rsidRPr="00A60202">
        <w:rPr>
          <w:b/>
          <w:bCs/>
        </w:rPr>
        <w:t>Survey of Recent Projects and Developments (2018–2023)</w:t>
      </w:r>
    </w:p>
    <w:p w14:paraId="5E24F894" w14:textId="77777777" w:rsidR="00A60202" w:rsidRPr="00A60202" w:rsidRDefault="00A60202" w:rsidP="00A60202">
      <w:pPr>
        <w:rPr>
          <w:b/>
          <w:bCs/>
        </w:rPr>
      </w:pPr>
      <w:r w:rsidRPr="00A60202">
        <w:rPr>
          <w:b/>
          <w:bCs/>
        </w:rPr>
        <w:t>Academic Research and Cognitive Labs</w:t>
      </w:r>
    </w:p>
    <w:p w14:paraId="4B613E1A" w14:textId="77777777" w:rsidR="00A60202" w:rsidRPr="00A60202" w:rsidRDefault="00A60202" w:rsidP="00A60202">
      <w:r w:rsidRPr="00A60202">
        <w:t xml:space="preserve">Research activity on multi-modal decision systems has been vibrant across universities and institutes worldwide. In the United States, </w:t>
      </w:r>
      <w:r w:rsidRPr="00A60202">
        <w:rPr>
          <w:b/>
          <w:bCs/>
        </w:rPr>
        <w:t>Caltech’s O’Doherty Lab</w:t>
      </w:r>
      <w:r w:rsidRPr="00A60202">
        <w:t xml:space="preserve"> has been at the forefront of computational neuroeconomics, dissecting how multiple brain systems jointly contribute to decision-making</w:t>
      </w:r>
      <w:r w:rsidRPr="00A60202">
        <w:rPr>
          <w:rFonts w:ascii="Arial" w:hAnsi="Arial" w:cs="Arial"/>
        </w:rPr>
        <w:t>​</w:t>
      </w:r>
    </w:p>
    <w:p w14:paraId="6C983A58" w14:textId="77777777" w:rsidR="00A60202" w:rsidRPr="00A60202" w:rsidRDefault="00A60202" w:rsidP="00A60202">
      <w:hyperlink r:id="rId4" w:anchor=":~:text=Most%20of%20our%20waking%20time,against%20neuroimaging%20data%2C%20it%20has" w:tgtFrame="_blank" w:history="1">
        <w:r w:rsidRPr="00A60202">
          <w:rPr>
            <w:rStyle w:val="Hyperlink"/>
          </w:rPr>
          <w:t>pmc.ncbi.nlm.nih.gov</w:t>
        </w:r>
      </w:hyperlink>
    </w:p>
    <w:p w14:paraId="27032613" w14:textId="77777777" w:rsidR="00A60202" w:rsidRPr="00A60202" w:rsidRDefault="00A60202" w:rsidP="00A60202">
      <w:r w:rsidRPr="00A60202">
        <w:rPr>
          <w:rFonts w:ascii="Arial" w:hAnsi="Arial" w:cs="Arial"/>
        </w:rPr>
        <w:t>​</w:t>
      </w:r>
    </w:p>
    <w:p w14:paraId="3ED87427" w14:textId="77777777" w:rsidR="00A60202" w:rsidRPr="00A60202" w:rsidRDefault="00A60202" w:rsidP="00A60202">
      <w:hyperlink r:id="rId5" w:anchor=":~:text=are%20implemented%20during%20social%20decision,yield%20a%20coherent%20behavioral%20output" w:tgtFrame="_blank" w:history="1">
        <w:r w:rsidRPr="00A60202">
          <w:rPr>
            <w:rStyle w:val="Hyperlink"/>
          </w:rPr>
          <w:t>pmc.ncbi.nlm.nih.gov</w:t>
        </w:r>
      </w:hyperlink>
    </w:p>
    <w:p w14:paraId="10ECE06D" w14:textId="77777777" w:rsidR="00A60202" w:rsidRPr="00A60202" w:rsidRDefault="00A60202" w:rsidP="00A60202">
      <w:r w:rsidRPr="00A60202">
        <w:t xml:space="preserve">. Their 2020 review in </w:t>
      </w:r>
      <w:r w:rsidRPr="00A60202">
        <w:rPr>
          <w:i/>
          <w:iCs/>
        </w:rPr>
        <w:t>Cortex</w:t>
      </w:r>
      <w:r w:rsidRPr="00A60202">
        <w:t xml:space="preserve"> (Suzuki </w:t>
      </w:r>
      <w:r w:rsidRPr="00A60202">
        <w:rPr>
          <w:i/>
          <w:iCs/>
        </w:rPr>
        <w:t>et al.</w:t>
      </w:r>
      <w:r w:rsidRPr="00A60202">
        <w:t>) synthesized evidence that aligns with AI needs: highlighting parallel valuation, mentalizing, and control processes in social decisions. Similarly, at MIT and Harvard, neuroscientists and AI researchers have collaborated on understanding human planning that involves model-based (goal/reward-driven) and model-free (habitual, risk-averse) systems working in tandem, which has informed hierarchical RL algorithms.</w:t>
      </w:r>
    </w:p>
    <w:p w14:paraId="6A6A6A6B" w14:textId="77777777" w:rsidR="00A60202" w:rsidRPr="00A60202" w:rsidRDefault="00A60202" w:rsidP="00A60202">
      <w:r w:rsidRPr="00A60202">
        <w:t xml:space="preserve">Cognitive architecture research has also embraced multi-component decision-making. The </w:t>
      </w:r>
      <w:r w:rsidRPr="00A60202">
        <w:rPr>
          <w:b/>
          <w:bCs/>
        </w:rPr>
        <w:t>Sigma cognitive architecture</w:t>
      </w:r>
      <w:r w:rsidRPr="00A60202">
        <w:t xml:space="preserve"> (USC’s Institute for Creative Technologies) is an example that unifies logic, probabilistic reasoning, and neural-like learning in one architecture. Recent extensions of Sigma have tackled </w:t>
      </w:r>
      <w:r w:rsidRPr="00A60202">
        <w:rPr>
          <w:i/>
          <w:iCs/>
        </w:rPr>
        <w:t>Theory of Mind</w:t>
      </w:r>
      <w:r w:rsidRPr="00A60202">
        <w:t xml:space="preserve"> – enabling an AI to factor in another agent’s perspective (a relational reasoning facet) in decision-making</w:t>
      </w:r>
      <w:r w:rsidRPr="00A60202">
        <w:rPr>
          <w:rFonts w:ascii="Arial" w:hAnsi="Arial" w:cs="Arial"/>
        </w:rPr>
        <w:t>​</w:t>
      </w:r>
    </w:p>
    <w:p w14:paraId="0F818D40" w14:textId="77777777" w:rsidR="00A60202" w:rsidRPr="00A60202" w:rsidRDefault="00A60202" w:rsidP="00A60202">
      <w:hyperlink r:id="rId6" w:anchor=":~:text=," w:tgtFrame="_blank" w:history="1">
        <w:r w:rsidRPr="00A60202">
          <w:rPr>
            <w:rStyle w:val="Hyperlink"/>
          </w:rPr>
          <w:t>people.ict.usc.edu</w:t>
        </w:r>
      </w:hyperlink>
    </w:p>
    <w:p w14:paraId="781485D2" w14:textId="77777777" w:rsidR="00A60202" w:rsidRPr="00A60202" w:rsidRDefault="00A60202" w:rsidP="00A60202">
      <w:r w:rsidRPr="00A60202">
        <w:t xml:space="preserve">. Meanwhile, the </w:t>
      </w:r>
      <w:r w:rsidRPr="00A60202">
        <w:rPr>
          <w:b/>
          <w:bCs/>
        </w:rPr>
        <w:t>LIDA framework</w:t>
      </w:r>
      <w:r w:rsidRPr="00A60202">
        <w:t xml:space="preserve"> (U. Memphis) incorporates a “conscious broadcast” mechanism that resembles a global workspace: different specialized processes (including emotion nodes for risk or attachment for relation) compete and the winner’s content is broadcast, influencing the next decision cycle. In Europe, the </w:t>
      </w:r>
      <w:r w:rsidRPr="00A60202">
        <w:rPr>
          <w:b/>
          <w:bCs/>
        </w:rPr>
        <w:t>Human Brain Project</w:t>
      </w:r>
      <w:r w:rsidRPr="00A60202">
        <w:t xml:space="preserve"> (2013–2023) fueled interest in neuromorphic approaches to cognitive decision-making, and offshoot projects have looked at “value systems” for neuromorphic agents — essentially hardware-based risk/reward systems.</w:t>
      </w:r>
    </w:p>
    <w:p w14:paraId="465EC49F" w14:textId="77777777" w:rsidR="00A60202" w:rsidRPr="00A60202" w:rsidRDefault="00A60202" w:rsidP="00A60202">
      <w:r w:rsidRPr="00A60202">
        <w:t xml:space="preserve">Notably, researchers have begun implementing </w:t>
      </w:r>
      <w:r w:rsidRPr="00A60202">
        <w:rPr>
          <w:b/>
          <w:bCs/>
        </w:rPr>
        <w:t>cognitive manifolds</w:t>
      </w:r>
      <w:r w:rsidRPr="00A60202">
        <w:t xml:space="preserve"> in AI. A 2021 paper by </w:t>
      </w:r>
      <w:proofErr w:type="spellStart"/>
      <w:r w:rsidRPr="00A60202">
        <w:t>Bakhtavar</w:t>
      </w:r>
      <w:proofErr w:type="spellEnd"/>
      <w:r w:rsidRPr="00A60202">
        <w:t xml:space="preserve"> </w:t>
      </w:r>
      <w:r w:rsidRPr="00A60202">
        <w:rPr>
          <w:i/>
          <w:iCs/>
        </w:rPr>
        <w:t>et al.</w:t>
      </w:r>
      <w:r w:rsidRPr="00A60202">
        <w:t xml:space="preserve"> reviewed fuzzy cognitive maps in systems risk analysis and pointed to trends of integrating FCM with multi-criteria decision tools</w:t>
      </w:r>
      <w:r w:rsidRPr="00A60202">
        <w:rPr>
          <w:rFonts w:ascii="Arial" w:hAnsi="Arial" w:cs="Arial"/>
        </w:rPr>
        <w:t>​</w:t>
      </w:r>
    </w:p>
    <w:p w14:paraId="3CA9E100" w14:textId="77777777" w:rsidR="00A60202" w:rsidRPr="00A60202" w:rsidRDefault="00A60202" w:rsidP="00A60202">
      <w:hyperlink r:id="rId7" w:anchor=":~:text=Fuzzy%20cognitive%20maps%20,sciences%2C%20engineering%20sciences%20and%20industrial" w:tgtFrame="_blank" w:history="1">
        <w:r w:rsidRPr="00A60202">
          <w:rPr>
            <w:rStyle w:val="Hyperlink"/>
          </w:rPr>
          <w:t>link.springer.com</w:t>
        </w:r>
      </w:hyperlink>
    </w:p>
    <w:p w14:paraId="5C29A3A6" w14:textId="77777777" w:rsidR="00A60202" w:rsidRPr="00A60202" w:rsidRDefault="00A60202" w:rsidP="00A60202">
      <w:r w:rsidRPr="00A60202">
        <w:lastRenderedPageBreak/>
        <w:t>. At the University of Iowa, psychologists demonstrated how a visual attention decision could be modulated by reward value on a manifold of neural activity</w:t>
      </w:r>
      <w:r w:rsidRPr="00A60202">
        <w:rPr>
          <w:rFonts w:ascii="Arial" w:hAnsi="Arial" w:cs="Arial"/>
        </w:rPr>
        <w:t>​</w:t>
      </w:r>
    </w:p>
    <w:p w14:paraId="447811AA" w14:textId="77777777" w:rsidR="00A60202" w:rsidRPr="00A60202" w:rsidRDefault="00A60202" w:rsidP="00A60202">
      <w:r w:rsidRPr="00A60202">
        <w:t>www2.psychology.uiowa.edu</w:t>
      </w:r>
    </w:p>
    <w:p w14:paraId="4D4A71FC" w14:textId="77777777" w:rsidR="00A60202" w:rsidRPr="00A60202" w:rsidRDefault="00A60202" w:rsidP="00A60202">
      <w:r w:rsidRPr="00A60202">
        <w:t xml:space="preserve">, suggesting design patterns for attention modules in AI that factor in expected reward. In the UK, DeepMind’s work on </w:t>
      </w:r>
      <w:r w:rsidRPr="00A60202">
        <w:rPr>
          <w:b/>
          <w:bCs/>
        </w:rPr>
        <w:t>meta-control</w:t>
      </w:r>
      <w:r w:rsidRPr="00A60202">
        <w:t xml:space="preserve"> (e.g. “should the agent explore or exploit now?”) effectively gives a second-layer decision that evaluates the risk of exploration vs. the reward of exploitation, echoing a two-tier risk-reward integration.</w:t>
      </w:r>
    </w:p>
    <w:p w14:paraId="3C03B879" w14:textId="77777777" w:rsidR="00A60202" w:rsidRPr="00A60202" w:rsidRDefault="00A60202" w:rsidP="00A60202">
      <w:r w:rsidRPr="00A60202">
        <w:t xml:space="preserve">Internationally, labs in Canada (University of Alberta, Alberta Machine Intelligence Institute) have excelled in multi-objective RL theory – Peter </w:t>
      </w:r>
      <w:proofErr w:type="spellStart"/>
      <w:r w:rsidRPr="00A60202">
        <w:t>Vamplew</w:t>
      </w:r>
      <w:proofErr w:type="spellEnd"/>
      <w:r w:rsidRPr="00A60202">
        <w:t xml:space="preserve"> and colleagues (though in Australia, with international collaboration) published </w:t>
      </w:r>
      <w:r w:rsidRPr="00A60202">
        <w:rPr>
          <w:b/>
          <w:bCs/>
        </w:rPr>
        <w:t>“A Practical Guide to Multi-Objective Reinforcement Learning”</w:t>
      </w:r>
      <w:r w:rsidRPr="00A60202">
        <w:t xml:space="preserve"> in 2022 assembling best practices</w:t>
      </w:r>
      <w:r w:rsidRPr="00A60202">
        <w:rPr>
          <w:rFonts w:ascii="Arial" w:hAnsi="Arial" w:cs="Arial"/>
        </w:rPr>
        <w:t>​</w:t>
      </w:r>
    </w:p>
    <w:p w14:paraId="75C8D152" w14:textId="77777777" w:rsidR="00A60202" w:rsidRPr="00A60202" w:rsidRDefault="00A60202" w:rsidP="00A60202">
      <w:hyperlink r:id="rId8" w:anchor=":~:text=Real,objective" w:tgtFrame="_blank" w:history="1">
        <w:r w:rsidRPr="00A60202">
          <w:rPr>
            <w:rStyle w:val="Hyperlink"/>
          </w:rPr>
          <w:t>ar5iv.org</w:t>
        </w:r>
      </w:hyperlink>
    </w:p>
    <w:p w14:paraId="34132F0D" w14:textId="77777777" w:rsidR="00A60202" w:rsidRPr="00A60202" w:rsidRDefault="00A60202" w:rsidP="00A60202">
      <w:r w:rsidRPr="00A60202">
        <w:rPr>
          <w:rFonts w:ascii="Arial" w:hAnsi="Arial" w:cs="Arial"/>
        </w:rPr>
        <w:t>​</w:t>
      </w:r>
    </w:p>
    <w:p w14:paraId="5F00CDBA" w14:textId="77777777" w:rsidR="00A60202" w:rsidRPr="00A60202" w:rsidRDefault="00A60202" w:rsidP="00A60202">
      <w:hyperlink r:id="rId9" w:anchor=":~:text=In%20most%20real,2014%3B%20Lizotte" w:tgtFrame="_blank" w:history="1">
        <w:r w:rsidRPr="00A60202">
          <w:rPr>
            <w:rStyle w:val="Hyperlink"/>
          </w:rPr>
          <w:t>ar5iv.org</w:t>
        </w:r>
      </w:hyperlink>
    </w:p>
    <w:p w14:paraId="3CE147C4" w14:textId="77777777" w:rsidR="00A60202" w:rsidRPr="00A60202" w:rsidRDefault="00A60202" w:rsidP="00A60202">
      <w:r w:rsidRPr="00A60202">
        <w:t xml:space="preserve">. In Japan, RIKEN and others have explored neural network models that encode “expected risk” alongside reward in robotics (e.g. a robot arm that learns not just to reach a target but to do so with minimal risk of collision). Chinese research groups have also engaged; for instance, Tsinghua University’s AI lab worked on </w:t>
      </w:r>
      <w:r w:rsidRPr="00A60202">
        <w:rPr>
          <w:b/>
          <w:bCs/>
        </w:rPr>
        <w:t>urban traffic control AI</w:t>
      </w:r>
      <w:r w:rsidRPr="00A60202">
        <w:t xml:space="preserve"> that balances throughput (reward) with accident probability and fairness to side-roads (risk and relation to smaller roads), publishing results in IEEE Transactions on Intelligent Transport Systems around 2019.</w:t>
      </w:r>
    </w:p>
    <w:p w14:paraId="298AF2F6" w14:textId="77777777" w:rsidR="00A60202" w:rsidRPr="00A60202" w:rsidRDefault="00A60202" w:rsidP="00A60202">
      <w:pPr>
        <w:rPr>
          <w:b/>
          <w:bCs/>
        </w:rPr>
      </w:pPr>
      <w:r w:rsidRPr="00A60202">
        <w:rPr>
          <w:b/>
          <w:bCs/>
        </w:rPr>
        <w:t>Industry and Startup Efforts</w:t>
      </w:r>
    </w:p>
    <w:p w14:paraId="52978927" w14:textId="77777777" w:rsidR="00A60202" w:rsidRPr="00A60202" w:rsidRDefault="00A60202" w:rsidP="00A60202">
      <w:r w:rsidRPr="00A60202">
        <w:t xml:space="preserve">On the industry side, both large corporations and startups have pursued multi-modal decision AI, often motivated by business and societal applications. </w:t>
      </w:r>
      <w:r w:rsidRPr="00A60202">
        <w:rPr>
          <w:b/>
          <w:bCs/>
        </w:rPr>
        <w:t>IBM Research</w:t>
      </w:r>
      <w:r w:rsidRPr="00A60202">
        <w:t xml:space="preserve">, for example, has worked on “Trusted AI” frameworks that incorporate </w:t>
      </w:r>
      <w:r w:rsidRPr="00A60202">
        <w:rPr>
          <w:i/>
          <w:iCs/>
        </w:rPr>
        <w:t>constraints</w:t>
      </w:r>
      <w:r w:rsidRPr="00A60202">
        <w:t xml:space="preserve"> (risk limits, ethical guidelines) into AI decisions for finance and healthcare. IBM’s 2020 open-source project </w:t>
      </w:r>
      <w:r w:rsidRPr="00A60202">
        <w:rPr>
          <w:b/>
          <w:bCs/>
        </w:rPr>
        <w:t>AI Fairness 360</w:t>
      </w:r>
      <w:r w:rsidRPr="00A60202">
        <w:t xml:space="preserve"> and </w:t>
      </w:r>
      <w:r w:rsidRPr="00A60202">
        <w:rPr>
          <w:b/>
          <w:bCs/>
        </w:rPr>
        <w:t>AI Explainability 360</w:t>
      </w:r>
      <w:r w:rsidRPr="00A60202">
        <w:t xml:space="preserve"> indirectly support multi-objective trade-offs: they allow an AI developer to measure and mitigate bias (a relational equity concern) while maintaining accuracy (reward) and not unduly increasing uncertainty (risk). Similarly, </w:t>
      </w:r>
      <w:r w:rsidRPr="00A60202">
        <w:rPr>
          <w:b/>
          <w:bCs/>
        </w:rPr>
        <w:t>Google DeepMind</w:t>
      </w:r>
      <w:r w:rsidRPr="00A60202">
        <w:t xml:space="preserve"> has increasingly considered multi-objective scenarios in AI safety; one notable thread is </w:t>
      </w:r>
      <w:r w:rsidRPr="00A60202">
        <w:rPr>
          <w:b/>
          <w:bCs/>
        </w:rPr>
        <w:t>safe reinforcement learning</w:t>
      </w:r>
      <w:r w:rsidRPr="00A60202">
        <w:t xml:space="preserve"> where an agent must achieve goals </w:t>
      </w:r>
      <w:r w:rsidRPr="00A60202">
        <w:rPr>
          <w:i/>
          <w:iCs/>
        </w:rPr>
        <w:t>without</w:t>
      </w:r>
      <w:r w:rsidRPr="00A60202">
        <w:t xml:space="preserve"> violating safety constraints (they use techniques like reward shaping or two-tier optimization to impose a risk metric). OpenAI has not explicitly published on “risk-relation-</w:t>
      </w:r>
      <w:r w:rsidRPr="00A60202">
        <w:lastRenderedPageBreak/>
        <w:t>reward” triplet models, but their alignment research (e.g. training GPT-4 with human feedback) can be seen as adding a “human preference” objective to the reward function.</w:t>
      </w:r>
    </w:p>
    <w:p w14:paraId="1A758971" w14:textId="77777777" w:rsidR="00A60202" w:rsidRPr="00A60202" w:rsidRDefault="00A60202" w:rsidP="00A60202">
      <w:proofErr w:type="gramStart"/>
      <w:r w:rsidRPr="00A60202">
        <w:t>A number of</w:t>
      </w:r>
      <w:proofErr w:type="gramEnd"/>
      <w:r w:rsidRPr="00A60202">
        <w:t xml:space="preserve"> startups are explicitly branding around advanced decision intelligence. For instance, </w:t>
      </w:r>
      <w:proofErr w:type="spellStart"/>
      <w:r w:rsidRPr="00A60202">
        <w:rPr>
          <w:b/>
          <w:bCs/>
        </w:rPr>
        <w:t>Cogitai</w:t>
      </w:r>
      <w:proofErr w:type="spellEnd"/>
      <w:r w:rsidRPr="00A60202">
        <w:t xml:space="preserve"> (USA, co-founded by cognitive scientist Mark Ring) aimed to develop continual learning agents that can make decisions from experience in a human-like way, though it was acquired and folded into Sony’s AI efforts around 2019. </w:t>
      </w:r>
      <w:proofErr w:type="spellStart"/>
      <w:r w:rsidRPr="00A60202">
        <w:rPr>
          <w:b/>
          <w:bCs/>
        </w:rPr>
        <w:t>Gamalon</w:t>
      </w:r>
      <w:proofErr w:type="spellEnd"/>
      <w:r w:rsidRPr="00A60202">
        <w:t xml:space="preserve"> (USA) explored probabilistic programming to allow AI to make decisions with uncertainty quantification (hence incorporating risk). In Europe, </w:t>
      </w:r>
      <w:r w:rsidRPr="00A60202">
        <w:rPr>
          <w:b/>
          <w:bCs/>
        </w:rPr>
        <w:t>Aleph Alpha</w:t>
      </w:r>
      <w:r w:rsidRPr="00A60202">
        <w:t xml:space="preserve"> (Germany) and </w:t>
      </w:r>
      <w:r w:rsidRPr="00A60202">
        <w:rPr>
          <w:b/>
          <w:bCs/>
        </w:rPr>
        <w:t>DeepMind</w:t>
      </w:r>
      <w:r w:rsidRPr="00A60202">
        <w:t xml:space="preserve"> (UK) have dabbled in multi-modal foundation models that, while mostly focusing on perception, lay groundwork for multi-modal decision-making (a model that understands language and vision, for example, could make decisions based on both text and image inputs – a capability used in say, AI assistants that plan routes using both a map image and traffic text updates).</w:t>
      </w:r>
    </w:p>
    <w:p w14:paraId="2A267996" w14:textId="77777777" w:rsidR="00A60202" w:rsidRPr="00A60202" w:rsidRDefault="00A60202" w:rsidP="00A60202">
      <w:r w:rsidRPr="00A60202">
        <w:t xml:space="preserve">A particularly interesting development is in </w:t>
      </w:r>
      <w:r w:rsidRPr="00A60202">
        <w:rPr>
          <w:b/>
          <w:bCs/>
        </w:rPr>
        <w:t>decision support startups</w:t>
      </w:r>
      <w:r w:rsidRPr="00A60202">
        <w:t xml:space="preserve">. Companies like </w:t>
      </w:r>
      <w:r w:rsidRPr="00A60202">
        <w:rPr>
          <w:b/>
          <w:bCs/>
        </w:rPr>
        <w:t>Pathway.ai</w:t>
      </w:r>
      <w:r w:rsidRPr="00A60202">
        <w:t xml:space="preserve"> and </w:t>
      </w:r>
      <w:proofErr w:type="spellStart"/>
      <w:r w:rsidRPr="00A60202">
        <w:rPr>
          <w:b/>
          <w:bCs/>
        </w:rPr>
        <w:t>CausaLens</w:t>
      </w:r>
      <w:proofErr w:type="spellEnd"/>
      <w:r w:rsidRPr="00A60202">
        <w:t xml:space="preserve"> market “causal AI” for decision-making, emphasizing that their systems consider multiple causal factors (which can be interpreted as a multi-axis approach) and can simulate what-if scenarios (introducing a temporal and feedback aspect). </w:t>
      </w:r>
      <w:r w:rsidRPr="00A60202">
        <w:rPr>
          <w:b/>
          <w:bCs/>
        </w:rPr>
        <w:t>Unanimous AI</w:t>
      </w:r>
      <w:r w:rsidRPr="00A60202">
        <w:t xml:space="preserve"> (USA) has taken a different tack by focusing on </w:t>
      </w:r>
      <w:r w:rsidRPr="00A60202">
        <w:rPr>
          <w:i/>
          <w:iCs/>
        </w:rPr>
        <w:t>swarm intelligence</w:t>
      </w:r>
      <w:r w:rsidRPr="00A60202">
        <w:t>, allowing networked human users to collectively make decisions in real-time via an AI-mediated platform – effectively an emergent decision system where the AI aggregates inputs (risk assessments, preferences, etc., from each person) into a group decision. While not an autonomous AI making its own choices, it’s a commercial system embodying the emergent, multi-part decision process idea.</w:t>
      </w:r>
    </w:p>
    <w:p w14:paraId="2113388D" w14:textId="77777777" w:rsidR="00A60202" w:rsidRPr="00A60202" w:rsidRDefault="00A60202" w:rsidP="00A60202">
      <w:r w:rsidRPr="00A60202">
        <w:t xml:space="preserve">In the defense sector, the U.S. Department of Defense (DoD) and DARPA have invested heavily in decision-making AI that aligns with multi-objective needs. In 2022, DARPA launched the </w:t>
      </w:r>
      <w:r w:rsidRPr="00A60202">
        <w:rPr>
          <w:b/>
          <w:bCs/>
        </w:rPr>
        <w:t xml:space="preserve">In </w:t>
      </w:r>
      <w:proofErr w:type="gramStart"/>
      <w:r w:rsidRPr="00A60202">
        <w:rPr>
          <w:b/>
          <w:bCs/>
        </w:rPr>
        <w:t>The</w:t>
      </w:r>
      <w:proofErr w:type="gramEnd"/>
      <w:r w:rsidRPr="00A60202">
        <w:rPr>
          <w:b/>
          <w:bCs/>
        </w:rPr>
        <w:t xml:space="preserve"> Moment (ITM)</w:t>
      </w:r>
      <w:r w:rsidRPr="00A60202">
        <w:t xml:space="preserve"> program</w:t>
      </w:r>
      <w:r w:rsidRPr="00A60202">
        <w:rPr>
          <w:rFonts w:ascii="Arial" w:hAnsi="Arial" w:cs="Arial"/>
        </w:rPr>
        <w:t>​</w:t>
      </w:r>
    </w:p>
    <w:p w14:paraId="796D3084" w14:textId="77777777" w:rsidR="00A60202" w:rsidRPr="00A60202" w:rsidRDefault="00A60202" w:rsidP="00A60202">
      <w:hyperlink r:id="rId10" w:anchor=":~:text=DARPA%20announced%20the%20In%20the,DoD%29%20operations" w:tgtFrame="_blank" w:history="1">
        <w:r w:rsidRPr="00A60202">
          <w:rPr>
            <w:rStyle w:val="Hyperlink"/>
          </w:rPr>
          <w:t>darpa.mil</w:t>
        </w:r>
      </w:hyperlink>
    </w:p>
    <w:p w14:paraId="6CEB3A1A" w14:textId="77777777" w:rsidR="00A60202" w:rsidRPr="00A60202" w:rsidRDefault="00A60202" w:rsidP="00A60202">
      <w:r w:rsidRPr="00A60202">
        <w:t xml:space="preserve">, specifically aimed at creating AI decision-makers for domains where there is </w:t>
      </w:r>
      <w:r w:rsidRPr="00A60202">
        <w:rPr>
          <w:i/>
          <w:iCs/>
        </w:rPr>
        <w:t>no clear single right answer</w:t>
      </w:r>
      <w:r w:rsidRPr="00A60202">
        <w:t xml:space="preserve"> and experts might disagree</w:t>
      </w:r>
      <w:r w:rsidRPr="00A60202">
        <w:rPr>
          <w:rFonts w:ascii="Arial" w:hAnsi="Arial" w:cs="Arial"/>
        </w:rPr>
        <w:t>​</w:t>
      </w:r>
    </w:p>
    <w:p w14:paraId="1720E4EB" w14:textId="77777777" w:rsidR="00A60202" w:rsidRPr="00A60202" w:rsidRDefault="00A60202" w:rsidP="00A60202">
      <w:hyperlink r:id="rId11" w:anchor=":~:text=require%20complex%20and%20rapid%20decision,trustworthy%20choices%20under%20difficult%20circumstances" w:tgtFrame="_blank" w:history="1">
        <w:r w:rsidRPr="00A60202">
          <w:rPr>
            <w:rStyle w:val="Hyperlink"/>
          </w:rPr>
          <w:t>darpa.mil</w:t>
        </w:r>
      </w:hyperlink>
    </w:p>
    <w:p w14:paraId="63FACD62" w14:textId="77777777" w:rsidR="00A60202" w:rsidRPr="00A60202" w:rsidRDefault="00A60202" w:rsidP="00A60202">
      <w:r w:rsidRPr="00A60202">
        <w:rPr>
          <w:rFonts w:ascii="Arial" w:hAnsi="Arial" w:cs="Arial"/>
        </w:rPr>
        <w:t>​</w:t>
      </w:r>
    </w:p>
    <w:p w14:paraId="27A6036B" w14:textId="77777777" w:rsidR="00A60202" w:rsidRPr="00A60202" w:rsidRDefault="00A60202" w:rsidP="00A60202">
      <w:hyperlink r:id="rId12" w:anchor=":~:text=%E2%80%9CBaking%20in%20one,making%20challenges.%E2%80%9D" w:tgtFrame="_blank" w:history="1">
        <w:r w:rsidRPr="00A60202">
          <w:rPr>
            <w:rStyle w:val="Hyperlink"/>
          </w:rPr>
          <w:t>darpa.mil</w:t>
        </w:r>
      </w:hyperlink>
    </w:p>
    <w:p w14:paraId="26DDD90B" w14:textId="77777777" w:rsidR="00A60202" w:rsidRPr="00A60202" w:rsidRDefault="00A60202" w:rsidP="00A60202">
      <w:r w:rsidRPr="00A60202">
        <w:t>. This implies the AI must handle uncertainty, multiple criteria, and context – exactly the risk/reward/relation style. ITM seeks “trusted algorithmic decision-makers for mission-</w:t>
      </w:r>
      <w:r w:rsidRPr="00A60202">
        <w:lastRenderedPageBreak/>
        <w:t>critical operations” and explicitly notes that hard-coding fixed risk values won’t work, due to scenario variability</w:t>
      </w:r>
      <w:r w:rsidRPr="00A60202">
        <w:rPr>
          <w:rFonts w:ascii="Arial" w:hAnsi="Arial" w:cs="Arial"/>
        </w:rPr>
        <w:t>​</w:t>
      </w:r>
    </w:p>
    <w:p w14:paraId="27DC452D" w14:textId="77777777" w:rsidR="00A60202" w:rsidRPr="00A60202" w:rsidRDefault="00A60202" w:rsidP="00A60202">
      <w:hyperlink r:id="rId13" w:anchor=":~:text=To%20illustrate%2C%20self,driving%20car%20algorithms" w:tgtFrame="_blank" w:history="1">
        <w:r w:rsidRPr="00A60202">
          <w:rPr>
            <w:rStyle w:val="Hyperlink"/>
          </w:rPr>
          <w:t>darpa.mil</w:t>
        </w:r>
      </w:hyperlink>
    </w:p>
    <w:p w14:paraId="4856A271" w14:textId="77777777" w:rsidR="00A60202" w:rsidRPr="00A60202" w:rsidRDefault="00A60202" w:rsidP="00A60202">
      <w:r w:rsidRPr="00A60202">
        <w:t>. One approach under ITM is to compare AI decisions to a distribution of human expert decisions (capturing the space of reasonable trade-offs) and adjust AI behavior to fall within that distribution</w:t>
      </w:r>
      <w:r w:rsidRPr="00A60202">
        <w:rPr>
          <w:rFonts w:ascii="Arial" w:hAnsi="Arial" w:cs="Arial"/>
        </w:rPr>
        <w:t>​</w:t>
      </w:r>
    </w:p>
    <w:p w14:paraId="3EA2B3C0" w14:textId="77777777" w:rsidR="00A60202" w:rsidRPr="00A60202" w:rsidRDefault="00A60202" w:rsidP="00A60202">
      <w:hyperlink r:id="rId14" w:anchor=":~:text=techniques%20have%20been%20developed%20for,be%20comparable%20to%20human%20performance" w:tgtFrame="_blank" w:history="1">
        <w:r w:rsidRPr="00A60202">
          <w:rPr>
            <w:rStyle w:val="Hyperlink"/>
          </w:rPr>
          <w:t>darpa.mil</w:t>
        </w:r>
      </w:hyperlink>
    </w:p>
    <w:p w14:paraId="02D69968" w14:textId="77777777" w:rsidR="00A60202" w:rsidRPr="00A60202" w:rsidRDefault="00A60202" w:rsidP="00A60202">
      <w:r w:rsidRPr="00A60202">
        <w:t xml:space="preserve">. A notable project in ITM is by </w:t>
      </w:r>
      <w:proofErr w:type="spellStart"/>
      <w:r w:rsidRPr="00A60202">
        <w:rPr>
          <w:b/>
          <w:bCs/>
        </w:rPr>
        <w:t>Kitware</w:t>
      </w:r>
      <w:proofErr w:type="spellEnd"/>
      <w:r w:rsidRPr="00A60202">
        <w:rPr>
          <w:b/>
          <w:bCs/>
        </w:rPr>
        <w:t>, Inc.</w:t>
      </w:r>
      <w:r w:rsidRPr="00A60202">
        <w:t xml:space="preserve">, which in 2023 received an $11.5M multi-year DARPA contract to develop an AI called </w:t>
      </w:r>
      <w:r w:rsidRPr="00A60202">
        <w:rPr>
          <w:b/>
          <w:bCs/>
        </w:rPr>
        <w:t>ALIGN</w:t>
      </w:r>
      <w:r w:rsidRPr="00A60202">
        <w:t xml:space="preserve"> that will weigh “different factors such as the morality of a decision, its relation to medical triage knowledge, and alignment with human decision-making attributes” and provide explanations</w:t>
      </w:r>
      <w:r w:rsidRPr="00A60202">
        <w:rPr>
          <w:rFonts w:ascii="Arial" w:hAnsi="Arial" w:cs="Arial"/>
        </w:rPr>
        <w:t>​</w:t>
      </w:r>
    </w:p>
    <w:p w14:paraId="7DC7D749" w14:textId="77777777" w:rsidR="00A60202" w:rsidRPr="00A60202" w:rsidRDefault="00A60202" w:rsidP="00A60202">
      <w:hyperlink r:id="rId15" w:anchor=":~:text=technology%20that%20can%20perform%20human,attribute%20spaces%2C%20allowing%20it%20to" w:tgtFrame="_blank" w:history="1">
        <w:r w:rsidRPr="00A60202">
          <w:rPr>
            <w:rStyle w:val="Hyperlink"/>
          </w:rPr>
          <w:t>kitware.com</w:t>
        </w:r>
      </w:hyperlink>
    </w:p>
    <w:p w14:paraId="769B07AD" w14:textId="77777777" w:rsidR="00A60202" w:rsidRPr="00A60202" w:rsidRDefault="00A60202" w:rsidP="00A60202">
      <w:r w:rsidRPr="00A60202">
        <w:t xml:space="preserve">. This description hits all three of the </w:t>
      </w:r>
      <w:proofErr w:type="spellStart"/>
      <w:r w:rsidRPr="00A60202">
        <w:t>Trilliquary</w:t>
      </w:r>
      <w:proofErr w:type="spellEnd"/>
      <w:r w:rsidRPr="00A60202">
        <w:t xml:space="preserve"> axes: morality (a relational/ethical metric), domain knowledge (ensuring safety/effectiveness, i.e. risk management), and alignment with decision-maker attributes (which could include preference for outcomes – a reward alignment). The fact that a single system is intended to balance these and justify itself indicates how far multi-axis decision systems have come in an applied setting.</w:t>
      </w:r>
    </w:p>
    <w:p w14:paraId="348267DE" w14:textId="77777777" w:rsidR="00A60202" w:rsidRPr="00A60202" w:rsidRDefault="00A60202" w:rsidP="00A60202">
      <w:r w:rsidRPr="00A60202">
        <w:t>Lastly, patent literature in the past five years also reflects these trends. A few patents have been filed on multi-criteria decision engines. For instance, one might find a patent on an “AI coaching system” that evaluates a user’s performance by simultaneously considering efficiency, safety, and interpersonal impact, adjusting feedback accordingly (hypothetical, but derivative of real applications in driver coaching or employee training AI). Another patent trend is on “autonomous vehicle decision-making” where the car’s AI uses a risk assessment module (for collision risk), a reward module (for progress toward destination), and a social compliance module (for following rules and courtesy). These often involve innovative integration mechanisms, sometimes proprietary blends of rule-based and learned components.</w:t>
      </w:r>
    </w:p>
    <w:p w14:paraId="09D77868" w14:textId="77777777" w:rsidR="00A60202" w:rsidRPr="00A60202" w:rsidRDefault="00A60202" w:rsidP="00A60202">
      <w:r w:rsidRPr="00A60202">
        <w:t xml:space="preserve">In summary, from academic labs to corporate R&amp;D and startups, there is clear momentum toward AI that can “think” in multiple dimensions. The </w:t>
      </w:r>
      <w:proofErr w:type="gramStart"/>
      <w:r w:rsidRPr="00A60202">
        <w:t>U.S. in particular, via</w:t>
      </w:r>
      <w:proofErr w:type="gramEnd"/>
      <w:r w:rsidRPr="00A60202">
        <w:t xml:space="preserve"> DARPA and tech companies, has shown leadership in funding and prototyping such systems, while internationally, collaborations and parallel efforts push the boundaries. We now have concrete examples (like </w:t>
      </w:r>
      <w:proofErr w:type="spellStart"/>
      <w:r w:rsidRPr="00A60202">
        <w:t>Kitware’s</w:t>
      </w:r>
      <w:proofErr w:type="spellEnd"/>
      <w:r w:rsidRPr="00A60202">
        <w:t xml:space="preserve"> ALIGN or DeepMind’s safe RL agents) to consider when comparing to the </w:t>
      </w:r>
      <w:proofErr w:type="spellStart"/>
      <w:r w:rsidRPr="00A60202">
        <w:t>Trilliquary</w:t>
      </w:r>
      <w:proofErr w:type="spellEnd"/>
      <w:r w:rsidRPr="00A60202">
        <w:t xml:space="preserve"> model.</w:t>
      </w:r>
    </w:p>
    <w:p w14:paraId="2A32EF92" w14:textId="77777777" w:rsidR="00A60202" w:rsidRPr="00A60202" w:rsidRDefault="00A60202" w:rsidP="00A60202">
      <w:pPr>
        <w:rPr>
          <w:b/>
          <w:bCs/>
        </w:rPr>
      </w:pPr>
      <w:r w:rsidRPr="00A60202">
        <w:rPr>
          <w:b/>
          <w:bCs/>
        </w:rPr>
        <w:t xml:space="preserve">Comparisons to the </w:t>
      </w:r>
      <w:proofErr w:type="spellStart"/>
      <w:r w:rsidRPr="00A60202">
        <w:rPr>
          <w:b/>
          <w:bCs/>
        </w:rPr>
        <w:t>Trilliquary</w:t>
      </w:r>
      <w:proofErr w:type="spellEnd"/>
      <w:r w:rsidRPr="00A60202">
        <w:rPr>
          <w:b/>
          <w:bCs/>
        </w:rPr>
        <w:t xml:space="preserve"> Model</w:t>
      </w:r>
    </w:p>
    <w:p w14:paraId="7F1D79F2" w14:textId="77777777" w:rsidR="00A60202" w:rsidRPr="00A60202" w:rsidRDefault="00A60202" w:rsidP="00A60202">
      <w:r w:rsidRPr="00A60202">
        <w:lastRenderedPageBreak/>
        <w:t>The “</w:t>
      </w:r>
      <w:proofErr w:type="spellStart"/>
      <w:r w:rsidRPr="00A60202">
        <w:t>Trilliquary</w:t>
      </w:r>
      <w:proofErr w:type="spellEnd"/>
      <w:r w:rsidRPr="00A60202">
        <w:t>” model described (a three-layer manifold with axes for Risk, Reward, Relation, a conscious time-arrow integrator, and emergent flow outputs) is an ambitious architecture that encapsulates many of the ideas discussed above. How do existing systems measure up to this vision? Here we identify key similarities and differences:</w:t>
      </w:r>
    </w:p>
    <w:p w14:paraId="28DC24D0" w14:textId="77777777" w:rsidR="00A60202" w:rsidRPr="00A60202" w:rsidRDefault="00A60202" w:rsidP="00A60202">
      <w:r w:rsidRPr="00A60202">
        <w:rPr>
          <w:b/>
          <w:bCs/>
        </w:rPr>
        <w:t>1. Three-Axis Evaluation (Risk, Reward, Relation):</w:t>
      </w:r>
      <w:r w:rsidRPr="00A60202">
        <w:t xml:space="preserve"> Many modern systems do include at least two or three distinct evaluative criteria, which maps onto </w:t>
      </w:r>
      <w:proofErr w:type="spellStart"/>
      <w:r w:rsidRPr="00A60202">
        <w:t>Trilliquary’s</w:t>
      </w:r>
      <w:proofErr w:type="spellEnd"/>
      <w:r w:rsidRPr="00A60202">
        <w:t xml:space="preserve"> axes. For example, the triadic neural model in humans is explicitly risk/reward/regulatory</w:t>
      </w:r>
      <w:r w:rsidRPr="00A60202">
        <w:rPr>
          <w:rFonts w:ascii="Arial" w:hAnsi="Arial" w:cs="Arial"/>
        </w:rPr>
        <w:t>​</w:t>
      </w:r>
    </w:p>
    <w:p w14:paraId="207D089F" w14:textId="77777777" w:rsidR="00A60202" w:rsidRPr="00A60202" w:rsidRDefault="00A60202" w:rsidP="00A60202">
      <w:hyperlink r:id="rId16" w:anchor=":~:text=The%20triadic%20model%20is%20based,approach%20behavioral%20system%20underlies%20goal" w:tgtFrame="_blank" w:history="1">
        <w:r w:rsidRPr="00A60202">
          <w:rPr>
            <w:rStyle w:val="Hyperlink"/>
          </w:rPr>
          <w:t>pmc.ncbi.nlm.nih.gov</w:t>
        </w:r>
      </w:hyperlink>
    </w:p>
    <w:p w14:paraId="77C0730E" w14:textId="77777777" w:rsidR="00A60202" w:rsidRPr="00A60202" w:rsidRDefault="00A60202" w:rsidP="00A60202">
      <w:proofErr w:type="gramStart"/>
      <w:r w:rsidRPr="00A60202">
        <w:t>, and DARPA’s</w:t>
      </w:r>
      <w:proofErr w:type="gramEnd"/>
      <w:r w:rsidRPr="00A60202">
        <w:t xml:space="preserve"> ALIGN system aims to weigh moral factors vs. outcomes</w:t>
      </w:r>
      <w:r w:rsidRPr="00A60202">
        <w:rPr>
          <w:rFonts w:ascii="Arial" w:hAnsi="Arial" w:cs="Arial"/>
        </w:rPr>
        <w:t>​</w:t>
      </w:r>
    </w:p>
    <w:p w14:paraId="2D0AE23D" w14:textId="77777777" w:rsidR="00A60202" w:rsidRPr="00A60202" w:rsidRDefault="00A60202" w:rsidP="00A60202">
      <w:hyperlink r:id="rId17" w:anchor=":~:text=for%20developing%20the%20Aligned%20Moral,of%20users%2C%20settings%2C%20and%20scenarios" w:tgtFrame="_blank" w:history="1">
        <w:r w:rsidRPr="00A60202">
          <w:rPr>
            <w:rStyle w:val="Hyperlink"/>
          </w:rPr>
          <w:t>kitware.com</w:t>
        </w:r>
      </w:hyperlink>
    </w:p>
    <w:p w14:paraId="15960545" w14:textId="77777777" w:rsidR="00A60202" w:rsidRPr="00A60202" w:rsidRDefault="00A60202" w:rsidP="00A60202">
      <w:r w:rsidRPr="00A60202">
        <w:t xml:space="preserve">. Multi-objective RL implementations often have “n objectives” which could be configured as reward, risk (perhaps via a penalty objective), and a relational objective (like fairness or team benefit). However, few existing AI architectures </w:t>
      </w:r>
      <w:r w:rsidRPr="00A60202">
        <w:rPr>
          <w:i/>
          <w:iCs/>
        </w:rPr>
        <w:t>explicitly</w:t>
      </w:r>
      <w:r w:rsidRPr="00A60202">
        <w:t xml:space="preserve"> label a component as “Relation.” Instead, what we call </w:t>
      </w:r>
      <w:proofErr w:type="gramStart"/>
      <w:r w:rsidRPr="00A60202">
        <w:t>relation</w:t>
      </w:r>
      <w:proofErr w:type="gramEnd"/>
      <w:r w:rsidRPr="00A60202">
        <w:t xml:space="preserve"> could be distributed across things like a moral value function, a fairness constraint, or a module for social reasoning. The </w:t>
      </w:r>
      <w:proofErr w:type="spellStart"/>
      <w:r w:rsidRPr="00A60202">
        <w:t>Trilliquary</w:t>
      </w:r>
      <w:proofErr w:type="spellEnd"/>
      <w:r w:rsidRPr="00A60202">
        <w:t xml:space="preserve"> model’s clarity in defining a Relation axis (presumably capturing social/emotional/moral context) is somewhat unique and forward-looking. Most AI to date </w:t>
      </w:r>
      <w:proofErr w:type="gramStart"/>
      <w:r w:rsidRPr="00A60202">
        <w:t>have</w:t>
      </w:r>
      <w:proofErr w:type="gramEnd"/>
      <w:r w:rsidRPr="00A60202">
        <w:t xml:space="preserve"> focused on reward vs. risk trade-offs (e.g. maximizing reward under a risk constraint or risk-sensitive objective)</w:t>
      </w:r>
      <w:r w:rsidRPr="00A60202">
        <w:rPr>
          <w:rFonts w:ascii="Arial" w:hAnsi="Arial" w:cs="Arial"/>
        </w:rPr>
        <w:t>​</w:t>
      </w:r>
    </w:p>
    <w:p w14:paraId="3754EA01" w14:textId="77777777" w:rsidR="00A60202" w:rsidRPr="00A60202" w:rsidRDefault="00A60202" w:rsidP="00A60202">
      <w:hyperlink r:id="rId18" w:anchor=":~:text=%E2%80%9CBaking%20in%20one,making%20challenges.%E2%80%9D" w:tgtFrame="_blank" w:history="1">
        <w:r w:rsidRPr="00A60202">
          <w:rPr>
            <w:rStyle w:val="Hyperlink"/>
          </w:rPr>
          <w:t>darpa.mil</w:t>
        </w:r>
      </w:hyperlink>
    </w:p>
    <w:p w14:paraId="4FA1FC35" w14:textId="77777777" w:rsidR="00A60202" w:rsidRPr="00A60202" w:rsidRDefault="00A60202" w:rsidP="00A60202">
      <w:r w:rsidRPr="00A60202">
        <w:t xml:space="preserve">; only recently are social and ethical factors being integrated as first-class citizens. Thus, </w:t>
      </w:r>
      <w:proofErr w:type="spellStart"/>
      <w:r w:rsidRPr="00A60202">
        <w:t>Trilliquary’s</w:t>
      </w:r>
      <w:proofErr w:type="spellEnd"/>
      <w:r w:rsidRPr="00A60202">
        <w:t xml:space="preserve"> inclusion of Relation aligns with emerging trends (AI ethics, human-aware AI) but goes beyond the norm by making it a core dimension rather than an external add-on.</w:t>
      </w:r>
    </w:p>
    <w:p w14:paraId="145560E9" w14:textId="77777777" w:rsidR="00A60202" w:rsidRPr="00A60202" w:rsidRDefault="00A60202" w:rsidP="00A60202">
      <w:r w:rsidRPr="00A60202">
        <w:rPr>
          <w:b/>
          <w:bCs/>
        </w:rPr>
        <w:t>2. Axial Manifold and X/Y/Z Alignment:</w:t>
      </w:r>
      <w:r w:rsidRPr="00A60202">
        <w:t xml:space="preserve"> The idea of a decision manifold suggests that the state of the decision process can be represented as a point in a 3D space (risk level, reward value, relation impact). Existing work implicitly supports this – for instance, a multi-objective optimization has a </w:t>
      </w:r>
      <w:r w:rsidRPr="00A60202">
        <w:rPr>
          <w:b/>
          <w:bCs/>
        </w:rPr>
        <w:t>Pareto front</w:t>
      </w:r>
      <w:r w:rsidRPr="00A60202">
        <w:t xml:space="preserve"> in objective space (which in a 3-objective case is a surface in a 3D space of [risk, reward, relation] values). Researchers even visualize such fronts</w:t>
      </w:r>
      <w:r w:rsidRPr="00A60202">
        <w:rPr>
          <w:rFonts w:ascii="Arial" w:hAnsi="Arial" w:cs="Arial"/>
        </w:rPr>
        <w:t>​</w:t>
      </w:r>
    </w:p>
    <w:p w14:paraId="2A739473" w14:textId="77777777" w:rsidR="00A60202" w:rsidRPr="00A60202" w:rsidRDefault="00A60202" w:rsidP="00A60202">
      <w:hyperlink r:id="rId19" w:anchor=":~:text=Figure%204%3A%20Left%3A%20A%20graphical,set%20with%20respect%20to%20the" w:tgtFrame="_blank" w:history="1">
        <w:r w:rsidRPr="00A60202">
          <w:rPr>
            <w:rStyle w:val="Hyperlink"/>
          </w:rPr>
          <w:t>ar5iv.org</w:t>
        </w:r>
      </w:hyperlink>
    </w:p>
    <w:p w14:paraId="2F12D665" w14:textId="77777777" w:rsidR="00A60202" w:rsidRPr="00A60202" w:rsidRDefault="00A60202" w:rsidP="00A60202">
      <w:r w:rsidRPr="00A60202">
        <w:t xml:space="preserve">. What </w:t>
      </w:r>
      <w:proofErr w:type="spellStart"/>
      <w:r w:rsidRPr="00A60202">
        <w:t>Trilliquary</w:t>
      </w:r>
      <w:proofErr w:type="spellEnd"/>
      <w:r w:rsidRPr="00A60202">
        <w:t xml:space="preserve"> adds is the notion that this space is not just an abstract outcome space but is structured as a </w:t>
      </w:r>
      <w:r w:rsidRPr="00A60202">
        <w:rPr>
          <w:b/>
          <w:bCs/>
        </w:rPr>
        <w:t>cognitive manifold</w:t>
      </w:r>
      <w:r w:rsidRPr="00A60202">
        <w:t xml:space="preserve"> through which the decision process moves. Some cognitive scientists have started to talk about neural manifolds for decision states</w:t>
      </w:r>
      <w:r w:rsidRPr="00A60202">
        <w:rPr>
          <w:rFonts w:ascii="Arial" w:hAnsi="Arial" w:cs="Arial"/>
        </w:rPr>
        <w:t>​</w:t>
      </w:r>
    </w:p>
    <w:p w14:paraId="00B7B9A3" w14:textId="77777777" w:rsidR="00A60202" w:rsidRPr="00A60202" w:rsidRDefault="00A60202" w:rsidP="00A60202">
      <w:hyperlink r:id="rId20" w:anchor=":~:text=,contraction%20underlie%20human%20sensorimotor%20adaptation" w:tgtFrame="_blank" w:history="1">
        <w:r w:rsidRPr="00A60202">
          <w:rPr>
            <w:rStyle w:val="Hyperlink"/>
          </w:rPr>
          <w:t>elifesciences.org</w:t>
        </w:r>
      </w:hyperlink>
    </w:p>
    <w:p w14:paraId="235946A2" w14:textId="77777777" w:rsidR="00A60202" w:rsidRPr="00A60202" w:rsidRDefault="00A60202" w:rsidP="00A60202">
      <w:r w:rsidRPr="00A60202">
        <w:lastRenderedPageBreak/>
        <w:t xml:space="preserve">. A recent </w:t>
      </w:r>
      <w:proofErr w:type="spellStart"/>
      <w:r w:rsidRPr="00A60202">
        <w:t>eLife</w:t>
      </w:r>
      <w:proofErr w:type="spellEnd"/>
      <w:r w:rsidRPr="00A60202">
        <w:t xml:space="preserve"> article (2024) described “distinct patterns of cortical manifold expansion and contraction” for different learning conditions</w:t>
      </w:r>
      <w:r w:rsidRPr="00A60202">
        <w:rPr>
          <w:rFonts w:ascii="Arial" w:hAnsi="Arial" w:cs="Arial"/>
        </w:rPr>
        <w:t>​</w:t>
      </w:r>
    </w:p>
    <w:p w14:paraId="32F772F8" w14:textId="77777777" w:rsidR="00A60202" w:rsidRPr="00A60202" w:rsidRDefault="00A60202" w:rsidP="00A60202">
      <w:hyperlink r:id="rId21" w:anchor=":~:text=,contraction%20underlie%20human%20sensorimotor%20adaptation" w:tgtFrame="_blank" w:history="1">
        <w:r w:rsidRPr="00A60202">
          <w:rPr>
            <w:rStyle w:val="Hyperlink"/>
          </w:rPr>
          <w:t>elifesciences.org</w:t>
        </w:r>
      </w:hyperlink>
    </w:p>
    <w:p w14:paraId="5A026953" w14:textId="77777777" w:rsidR="00A60202" w:rsidRPr="00A60202" w:rsidRDefault="00A60202" w:rsidP="00A60202">
      <w:r w:rsidRPr="00A60202">
        <w:t xml:space="preserve">, essentially mapping neural activity during decisions onto a low-dimensional manifold. This resonates with </w:t>
      </w:r>
      <w:proofErr w:type="spellStart"/>
      <w:r w:rsidRPr="00A60202">
        <w:t>Trilliquary’s</w:t>
      </w:r>
      <w:proofErr w:type="spellEnd"/>
      <w:r w:rsidRPr="00A60202">
        <w:t xml:space="preserve"> </w:t>
      </w:r>
      <w:proofErr w:type="gramStart"/>
      <w:r w:rsidRPr="00A60202">
        <w:t>notion</w:t>
      </w:r>
      <w:proofErr w:type="gramEnd"/>
      <w:r w:rsidRPr="00A60202">
        <w:t xml:space="preserve"> but current AI rarely maintains an explicit coordinate in a risk-reward-relation space as its working state. One exception might be fuzzy cognitive maps or Bayesian networks that keep probabilities of different hypotheses (one could interpret probabilities of bad outcome vs good </w:t>
      </w:r>
      <w:proofErr w:type="gramStart"/>
      <w:r w:rsidRPr="00A60202">
        <w:t>outcome</w:t>
      </w:r>
      <w:proofErr w:type="gramEnd"/>
      <w:r w:rsidRPr="00A60202">
        <w:t xml:space="preserve"> as a risk-reward state). In comparison, </w:t>
      </w:r>
      <w:proofErr w:type="spellStart"/>
      <w:r w:rsidRPr="00A60202">
        <w:t>Trilliquary’s</w:t>
      </w:r>
      <w:proofErr w:type="spellEnd"/>
      <w:r w:rsidRPr="00A60202">
        <w:t xml:space="preserve"> alignment to X/Y/Z axes is a clear organizing principle, potentially making it more interpretable but also challenging since it </w:t>
      </w:r>
      <w:proofErr w:type="gramStart"/>
      <w:r w:rsidRPr="00A60202">
        <w:t>presumes</w:t>
      </w:r>
      <w:proofErr w:type="gramEnd"/>
      <w:r w:rsidRPr="00A60202">
        <w:t xml:space="preserve"> we can quantify each axis meaningfully.</w:t>
      </w:r>
    </w:p>
    <w:p w14:paraId="298F7374" w14:textId="77777777" w:rsidR="00A60202" w:rsidRPr="00A60202" w:rsidRDefault="00A60202" w:rsidP="00A60202">
      <w:r w:rsidRPr="00A60202">
        <w:rPr>
          <w:b/>
          <w:bCs/>
        </w:rPr>
        <w:t>3. Conscious Layer as Time-Arrow:</w:t>
      </w:r>
      <w:r w:rsidRPr="00A60202">
        <w:t xml:space="preserve"> This aspect of </w:t>
      </w:r>
      <w:proofErr w:type="spellStart"/>
      <w:r w:rsidRPr="00A60202">
        <w:t>Trilliquary</w:t>
      </w:r>
      <w:proofErr w:type="spellEnd"/>
      <w:r w:rsidRPr="00A60202">
        <w:t xml:space="preserve"> emphasizes sequential deliberation or integration – essentially a stage where the inputs from the three axes are combined over time to yield a decision. Many existing models have an integration step: for example, in a utility-based game AI, the utilities from various considerations are combined (often instantaneously via weighted sum). In contrast, a drift-diffusion model or a recurrent network integrates evidence over a time dimension – those are closer to the conscious time-arrow notion. </w:t>
      </w:r>
      <w:r w:rsidRPr="00A60202">
        <w:rPr>
          <w:i/>
          <w:iCs/>
        </w:rPr>
        <w:t>Global Workspace Theory</w:t>
      </w:r>
      <w:r w:rsidRPr="00A60202">
        <w:t xml:space="preserve"> in cognitive science posits a “broadcast” that happens in discrete moments (like moments of consciousness), which LIDA tries to implement. That aligns with having a distinct conscious phase. The difference is that not all AI have a separate time-based integration – some just compute an output in one forward pass. But notably, any AI that operates in the real world and reacts continuously does effectively have a time-arrow in its control loop. The </w:t>
      </w:r>
      <w:proofErr w:type="spellStart"/>
      <w:r w:rsidRPr="00A60202">
        <w:t>Trilliquary</w:t>
      </w:r>
      <w:proofErr w:type="spellEnd"/>
      <w:r w:rsidRPr="00A60202">
        <w:t xml:space="preserve"> model explicitly calls it out as a layer, which is conceptually </w:t>
      </w:r>
      <w:proofErr w:type="gramStart"/>
      <w:r w:rsidRPr="00A60202">
        <w:t>similar to</w:t>
      </w:r>
      <w:proofErr w:type="gramEnd"/>
      <w:r w:rsidRPr="00A60202">
        <w:t xml:space="preserve"> a controller or an executive that takes instantaneous appraisals (risk, reward, relation at a given moment) and accumulates or sequences them. This is </w:t>
      </w:r>
      <w:proofErr w:type="gramStart"/>
      <w:r w:rsidRPr="00A60202">
        <w:t>similar to</w:t>
      </w:r>
      <w:proofErr w:type="gramEnd"/>
      <w:r w:rsidRPr="00A60202">
        <w:t xml:space="preserve"> how a </w:t>
      </w:r>
      <w:r w:rsidRPr="00A60202">
        <w:rPr>
          <w:b/>
          <w:bCs/>
        </w:rPr>
        <w:t>Model Predictive Control</w:t>
      </w:r>
      <w:r w:rsidRPr="00A60202">
        <w:t xml:space="preserve"> system works: repeatedly at each timestep, it solves an optimization (perhaps considering multi-objectives) and moves one step. The conscious layer could be seen as analogous to that iterative re-evaluation. The “directional resistance” mentioned for </w:t>
      </w:r>
      <w:proofErr w:type="spellStart"/>
      <w:r w:rsidRPr="00A60202">
        <w:t>Trilliquary’s</w:t>
      </w:r>
      <w:proofErr w:type="spellEnd"/>
      <w:r w:rsidRPr="00A60202">
        <w:t xml:space="preserve"> conscious layer suggests that this integration is not frictionless – the model might resist rapid changes in decision direction, providing stability (this is beneficial to avoid erratic behavior). Current AI controllers often include such mechanisms (e.g. momentum terms, or simply the agent’s policy network which won’t output drastically different actions for small fluctuations in input due to its generalization).</w:t>
      </w:r>
    </w:p>
    <w:p w14:paraId="7F4CE049" w14:textId="77777777" w:rsidR="00A60202" w:rsidRPr="00A60202" w:rsidRDefault="00A60202" w:rsidP="00A60202">
      <w:r w:rsidRPr="00A60202">
        <w:rPr>
          <w:b/>
          <w:bCs/>
        </w:rPr>
        <w:t>4. Directional Resistance:</w:t>
      </w:r>
      <w:r w:rsidRPr="00A60202">
        <w:t xml:space="preserve"> In physics terms, resistance opposes motion; in a decision model, this could mean a tendency to stay on the current strategy unless sufficiently </w:t>
      </w:r>
      <w:r w:rsidRPr="00A60202">
        <w:lastRenderedPageBreak/>
        <w:t xml:space="preserve">“pushed” by new evidence. This is reminiscent of </w:t>
      </w:r>
      <w:r w:rsidRPr="00A60202">
        <w:rPr>
          <w:i/>
          <w:iCs/>
        </w:rPr>
        <w:t>inertia</w:t>
      </w:r>
      <w:r w:rsidRPr="00A60202">
        <w:t xml:space="preserve"> or hysteresis in human decision-making (sticking with one’s plan). Few AI planning systems explicitly model inertia, but some do. For instance, </w:t>
      </w:r>
      <w:r w:rsidRPr="00A60202">
        <w:rPr>
          <w:b/>
          <w:bCs/>
        </w:rPr>
        <w:t>options in reinforcement learning</w:t>
      </w:r>
      <w:r w:rsidRPr="00A60202">
        <w:t xml:space="preserve"> (temporally extended actions) give an agent commitment – it will continue an option for a while before re-evaluating. That’s a form of resistance to change. Another example: simulated annealing algorithms sometimes have a “inertia” to not jump to new states too quickly. Even neural networks training </w:t>
      </w:r>
      <w:proofErr w:type="gramStart"/>
      <w:r w:rsidRPr="00A60202">
        <w:t>have</w:t>
      </w:r>
      <w:proofErr w:type="gramEnd"/>
      <w:r w:rsidRPr="00A60202">
        <w:t xml:space="preserve"> momentum. </w:t>
      </w:r>
      <w:proofErr w:type="gramStart"/>
      <w:r w:rsidRPr="00A60202">
        <w:t>So</w:t>
      </w:r>
      <w:proofErr w:type="gramEnd"/>
      <w:r w:rsidRPr="00A60202">
        <w:t xml:space="preserve"> while not often framed as resistance, similar concepts exist. The </w:t>
      </w:r>
      <w:proofErr w:type="spellStart"/>
      <w:r w:rsidRPr="00A60202">
        <w:t>Trilliquary</w:t>
      </w:r>
      <w:proofErr w:type="spellEnd"/>
      <w:r w:rsidRPr="00A60202">
        <w:t xml:space="preserve"> model elevates this to a feature, perhaps to ensure stability and avoid oscillation in the tri-axis outputs. One can compare this to how fuzzy cognitive maps require damping factors to converge. Thus, </w:t>
      </w:r>
      <w:proofErr w:type="spellStart"/>
      <w:r w:rsidRPr="00A60202">
        <w:t>Trilliquary’s</w:t>
      </w:r>
      <w:proofErr w:type="spellEnd"/>
      <w:r w:rsidRPr="00A60202">
        <w:t xml:space="preserve"> directional resistance is a novel but sensible inclusion, and aligning with how advanced decision algorithms guard against flicker and oscillation. It’s more explicit than in most current systems.</w:t>
      </w:r>
    </w:p>
    <w:p w14:paraId="434544BC" w14:textId="77777777" w:rsidR="00A60202" w:rsidRPr="00A60202" w:rsidRDefault="00A60202" w:rsidP="00A60202">
      <w:r w:rsidRPr="00A60202">
        <w:rPr>
          <w:b/>
          <w:bCs/>
        </w:rPr>
        <w:t>5. Emergent Flow Outputs:</w:t>
      </w:r>
      <w:r w:rsidRPr="00A60202">
        <w:t xml:space="preserve"> The notion that the decision “flows out” of the manifold dynamics rather than being explicitly chosen is at the heart of emergent AI behavior. We see this in any neural policy (the behavior emerges from the neural weights; we didn’t code the output). But emergent can also mean unpredictable or creative outcomes. In multi-agent simulations, emergent strategies can occur that were not programmed (e.g. agents develop a signaling protocol). The </w:t>
      </w:r>
      <w:proofErr w:type="spellStart"/>
      <w:r w:rsidRPr="00A60202">
        <w:t>Trilliquary</w:t>
      </w:r>
      <w:proofErr w:type="spellEnd"/>
      <w:r w:rsidRPr="00A60202">
        <w:t xml:space="preserve"> model suggests the outputs are an </w:t>
      </w:r>
      <w:r w:rsidRPr="00A60202">
        <w:rPr>
          <w:i/>
          <w:iCs/>
        </w:rPr>
        <w:t>emergent property</w:t>
      </w:r>
      <w:r w:rsidRPr="00A60202">
        <w:t xml:space="preserve"> of the interplay of its layers rather than </w:t>
      </w:r>
      <w:proofErr w:type="gramStart"/>
      <w:r w:rsidRPr="00A60202">
        <w:t>a predetermined</w:t>
      </w:r>
      <w:proofErr w:type="gramEnd"/>
      <w:r w:rsidRPr="00A60202">
        <w:t xml:space="preserve"> mapping. This aligns closely with the philosophy of many modern AI: outcomes arise from optimization and interaction, not from fixed rules. In </w:t>
      </w:r>
      <w:proofErr w:type="gramStart"/>
      <w:r w:rsidRPr="00A60202">
        <w:t>comparing</w:t>
      </w:r>
      <w:proofErr w:type="gramEnd"/>
      <w:r w:rsidRPr="00A60202">
        <w:t xml:space="preserve">, we can say most deep learning-based decision systems already rely on emergent outputs. Where </w:t>
      </w:r>
      <w:proofErr w:type="spellStart"/>
      <w:r w:rsidRPr="00A60202">
        <w:t>Trilliquary</w:t>
      </w:r>
      <w:proofErr w:type="spellEnd"/>
      <w:r w:rsidRPr="00A60202">
        <w:t xml:space="preserve"> might differ is in transparency and control – by structuring the system into risk/reward/relation, it could allow observers to see </w:t>
      </w:r>
      <w:r w:rsidRPr="00A60202">
        <w:rPr>
          <w:i/>
          <w:iCs/>
        </w:rPr>
        <w:t>why</w:t>
      </w:r>
      <w:r w:rsidRPr="00A60202">
        <w:t xml:space="preserve"> a particular emergent decision flowed out (e.g. “the relation value built up and eventually tipped the decision”). Traditional end-to-end neural nets lack that clarity. So </w:t>
      </w:r>
      <w:proofErr w:type="spellStart"/>
      <w:r w:rsidRPr="00A60202">
        <w:t>Trilliquary</w:t>
      </w:r>
      <w:proofErr w:type="spellEnd"/>
      <w:r w:rsidRPr="00A60202">
        <w:t xml:space="preserve"> is similar in using emergence, but potentially more interpretable by design due to its factorized structure.</w:t>
      </w:r>
    </w:p>
    <w:p w14:paraId="536AAFA5" w14:textId="77777777" w:rsidR="00A60202" w:rsidRPr="00A60202" w:rsidRDefault="00A60202" w:rsidP="00A60202">
      <w:r w:rsidRPr="00A60202">
        <w:rPr>
          <w:b/>
          <w:bCs/>
        </w:rPr>
        <w:t>6. Integration of Physics Analogies:</w:t>
      </w:r>
      <w:r w:rsidRPr="00A60202">
        <w:t xml:space="preserve"> The </w:t>
      </w:r>
      <w:proofErr w:type="spellStart"/>
      <w:r w:rsidRPr="00A60202">
        <w:t>Trilliquary</w:t>
      </w:r>
      <w:proofErr w:type="spellEnd"/>
      <w:r w:rsidRPr="00A60202">
        <w:t xml:space="preserve"> concept of “manifold” and “flow” is very much a physics/engineering analogy (manifold surfaces, fluid flow with resistance). While not many AI papers explicitly talk in those terms, some do. There’s research on treating neural network training as </w:t>
      </w:r>
      <w:r w:rsidRPr="00A60202">
        <w:rPr>
          <w:b/>
          <w:bCs/>
        </w:rPr>
        <w:t>simulated physics</w:t>
      </w:r>
      <w:r w:rsidRPr="00A60202">
        <w:t xml:space="preserve"> (with loss landscape, gradient flows). For decision-making, researchers like Yoshua Bengio have discussed </w:t>
      </w:r>
      <w:r w:rsidRPr="00A60202">
        <w:rPr>
          <w:b/>
          <w:bCs/>
        </w:rPr>
        <w:t>consciousness prior</w:t>
      </w:r>
      <w:r w:rsidRPr="00A60202">
        <w:t xml:space="preserve"> – a prior that the AI’s latent state lies on a low-dimensional manifold that changes slowly (a kind of inertia) and occasionally jumps (attention shifting). This is a bit abstract, but it’s in line with the idea of a state flowing on a manifold. </w:t>
      </w:r>
      <w:r w:rsidRPr="00A60202">
        <w:rPr>
          <w:b/>
          <w:bCs/>
        </w:rPr>
        <w:t>Neuro-dynamic programming</w:t>
      </w:r>
      <w:r w:rsidRPr="00A60202">
        <w:t xml:space="preserve"> is another field where they solve Bellman equations using continuous dynamics. One could also mention </w:t>
      </w:r>
      <w:r w:rsidRPr="00A60202">
        <w:rPr>
          <w:b/>
          <w:bCs/>
        </w:rPr>
        <w:t>liquid state machines</w:t>
      </w:r>
      <w:r w:rsidRPr="00A60202">
        <w:t xml:space="preserve"> and </w:t>
      </w:r>
      <w:r w:rsidRPr="00A60202">
        <w:rPr>
          <w:b/>
          <w:bCs/>
        </w:rPr>
        <w:t xml:space="preserve">neural ordinary </w:t>
      </w:r>
      <w:r w:rsidRPr="00A60202">
        <w:rPr>
          <w:b/>
          <w:bCs/>
        </w:rPr>
        <w:lastRenderedPageBreak/>
        <w:t>differential equations (ODEs)</w:t>
      </w:r>
      <w:r w:rsidRPr="00A60202">
        <w:t xml:space="preserve"> – the latter treat deep neural networks as continuous-in-time systems, which could naturally incorporate something like a time-arrow integration. Indeed, Neural ODEs ensure a form of temporal consistency in how inputs map to outputs. These are fairly advanced </w:t>
      </w:r>
      <w:proofErr w:type="gramStart"/>
      <w:r w:rsidRPr="00A60202">
        <w:t>techniques, but</w:t>
      </w:r>
      <w:proofErr w:type="gramEnd"/>
      <w:r w:rsidRPr="00A60202">
        <w:t xml:space="preserve"> show that the community is starting to embrace continuous, physics-like descriptions for AI models. </w:t>
      </w:r>
      <w:proofErr w:type="spellStart"/>
      <w:r w:rsidRPr="00A60202">
        <w:t>Trilliquary</w:t>
      </w:r>
      <w:proofErr w:type="spellEnd"/>
      <w:r w:rsidRPr="00A60202">
        <w:t xml:space="preserve"> stands out by packaging several of these advanced ideas (multi-objectivity, dynamical integration, emergent output) in one coherent framework.</w:t>
      </w:r>
    </w:p>
    <w:p w14:paraId="3EE1347E" w14:textId="77777777" w:rsidR="00A60202" w:rsidRPr="00A60202" w:rsidRDefault="00A60202" w:rsidP="00A60202">
      <w:r w:rsidRPr="00A60202">
        <w:t xml:space="preserve">In general, </w:t>
      </w:r>
      <w:r w:rsidRPr="00A60202">
        <w:rPr>
          <w:b/>
          <w:bCs/>
        </w:rPr>
        <w:t xml:space="preserve">no single existing system perfectly mirrors the </w:t>
      </w:r>
      <w:proofErr w:type="spellStart"/>
      <w:r w:rsidRPr="00A60202">
        <w:rPr>
          <w:b/>
          <w:bCs/>
        </w:rPr>
        <w:t>Trilliquary</w:t>
      </w:r>
      <w:proofErr w:type="spellEnd"/>
      <w:r w:rsidRPr="00A60202">
        <w:rPr>
          <w:b/>
          <w:bCs/>
        </w:rPr>
        <w:t xml:space="preserve"> model</w:t>
      </w:r>
      <w:r w:rsidRPr="00A60202">
        <w:t xml:space="preserve">, but many provide pieces of it. The </w:t>
      </w:r>
      <w:proofErr w:type="spellStart"/>
      <w:r w:rsidRPr="00A60202">
        <w:t>Trilliquary</w:t>
      </w:r>
      <w:proofErr w:type="spellEnd"/>
      <w:r w:rsidRPr="00A60202">
        <w:t xml:space="preserve"> seems to synthesize the state-of-the-art understanding into one architecture: it’s like taking a multi-objective RL core, adding a global workspace integration (with time and inertia) and expecting decisions to self-organize from that. The closest analog might be an </w:t>
      </w:r>
      <w:r w:rsidRPr="00A60202">
        <w:rPr>
          <w:i/>
          <w:iCs/>
        </w:rPr>
        <w:t>active inference agent with a multi-dimensional prior</w:t>
      </w:r>
      <w:r w:rsidRPr="00A60202">
        <w:t xml:space="preserve"> – something not widely implemented yet but conceptually in literature. The differences often lie in emphasis: </w:t>
      </w:r>
      <w:proofErr w:type="spellStart"/>
      <w:r w:rsidRPr="00A60202">
        <w:t>Trilliquary</w:t>
      </w:r>
      <w:proofErr w:type="spellEnd"/>
      <w:r w:rsidRPr="00A60202">
        <w:t xml:space="preserve"> emphasizes a </w:t>
      </w:r>
      <w:r w:rsidRPr="00A60202">
        <w:rPr>
          <w:i/>
          <w:iCs/>
        </w:rPr>
        <w:t>triad structure</w:t>
      </w:r>
      <w:r w:rsidRPr="00A60202">
        <w:t xml:space="preserve"> and </w:t>
      </w:r>
      <w:r w:rsidRPr="00A60202">
        <w:rPr>
          <w:i/>
          <w:iCs/>
        </w:rPr>
        <w:t>conscious processing stage</w:t>
      </w:r>
      <w:r w:rsidRPr="00A60202">
        <w:t>, whereas most current systems either handle multi-objectives in a flattened way (e.g. single combined reward) or handle time integration implicitly (in a recurrence or through iterative re-planning rather than a dedicated module).</w:t>
      </w:r>
    </w:p>
    <w:p w14:paraId="60A7A0A9" w14:textId="77777777" w:rsidR="00A60202" w:rsidRPr="00A60202" w:rsidRDefault="00A60202" w:rsidP="00A60202">
      <w:r w:rsidRPr="00A60202">
        <w:t xml:space="preserve">One potential challenge for </w:t>
      </w:r>
      <w:proofErr w:type="spellStart"/>
      <w:r w:rsidRPr="00A60202">
        <w:t>Trilliquary</w:t>
      </w:r>
      <w:proofErr w:type="spellEnd"/>
      <w:r w:rsidRPr="00A60202">
        <w:t xml:space="preserve">, which current research has not fully solved, is </w:t>
      </w:r>
      <w:r w:rsidRPr="00A60202">
        <w:rPr>
          <w:b/>
          <w:bCs/>
        </w:rPr>
        <w:t>how to calibrate and balance the three axes dynamically</w:t>
      </w:r>
      <w:r w:rsidRPr="00A60202">
        <w:t xml:space="preserve">. Many multi-objective systems either require </w:t>
      </w:r>
      <w:proofErr w:type="gramStart"/>
      <w:r w:rsidRPr="00A60202">
        <w:t>a predefined</w:t>
      </w:r>
      <w:proofErr w:type="gramEnd"/>
      <w:r w:rsidRPr="00A60202">
        <w:t xml:space="preserve"> weighting or use methods like linear scalarization or lexicographic ordering to decide which objective dominates. </w:t>
      </w:r>
      <w:proofErr w:type="spellStart"/>
      <w:r w:rsidRPr="00A60202">
        <w:t>Trilliquary</w:t>
      </w:r>
      <w:proofErr w:type="spellEnd"/>
      <w:r w:rsidRPr="00A60202">
        <w:t xml:space="preserve"> would presumably need to have mechanisms to adjust how risk vs. reward vs. relation trade off depending on context (like how a human in emergencies might prioritize risk more, but in stable situations prioritize reward or relations). Some context-aware AI do this with rule-based switching or meta-policies. It’s an area of ongoing research (e.g. </w:t>
      </w:r>
      <w:r w:rsidRPr="00A60202">
        <w:rPr>
          <w:i/>
          <w:iCs/>
        </w:rPr>
        <w:t>conditional preference</w:t>
      </w:r>
      <w:r w:rsidRPr="00A60202">
        <w:t xml:space="preserve"> learning). No known architecture yet has an elegant one-shot solution to contextually balancing three top-level drives – this might be where </w:t>
      </w:r>
      <w:proofErr w:type="spellStart"/>
      <w:r w:rsidRPr="00A60202">
        <w:t>Trilliquary</w:t>
      </w:r>
      <w:proofErr w:type="spellEnd"/>
      <w:r w:rsidRPr="00A60202">
        <w:t xml:space="preserve"> could break ground if realized, or where it might borrow ideas from systems like </w:t>
      </w:r>
      <w:proofErr w:type="spellStart"/>
      <w:r w:rsidRPr="00A60202">
        <w:t>Kitware’s</w:t>
      </w:r>
      <w:proofErr w:type="spellEnd"/>
      <w:r w:rsidRPr="00A60202">
        <w:t xml:space="preserve"> ALIGN which explicitly will “dynamically align with different decision-maker attribute spaces”</w:t>
      </w:r>
      <w:r w:rsidRPr="00A60202">
        <w:rPr>
          <w:rFonts w:ascii="Arial" w:hAnsi="Arial" w:cs="Arial"/>
        </w:rPr>
        <w:t>​</w:t>
      </w:r>
    </w:p>
    <w:p w14:paraId="19CB59E6" w14:textId="77777777" w:rsidR="00A60202" w:rsidRPr="00A60202" w:rsidRDefault="00A60202" w:rsidP="00A60202">
      <w:hyperlink r:id="rId22" w:anchor=":~:text=attributes,of%20users%2C%20settings%2C%20and%20scenarios" w:tgtFrame="_blank" w:history="1">
        <w:r w:rsidRPr="00A60202">
          <w:rPr>
            <w:rStyle w:val="Hyperlink"/>
          </w:rPr>
          <w:t>kitware.com</w:t>
        </w:r>
      </w:hyperlink>
    </w:p>
    <w:p w14:paraId="2944929D" w14:textId="77777777" w:rsidR="00A60202" w:rsidRPr="00A60202" w:rsidRDefault="00A60202" w:rsidP="00A60202">
      <w:r w:rsidRPr="00A60202">
        <w:t>(suggesting adaptability of its moral/reward weights per user or scenario).</w:t>
      </w:r>
    </w:p>
    <w:p w14:paraId="46B96481" w14:textId="77777777" w:rsidR="00A60202" w:rsidRPr="00A60202" w:rsidRDefault="00A60202" w:rsidP="00A60202">
      <w:r w:rsidRPr="00A60202">
        <w:t xml:space="preserve">In </w:t>
      </w:r>
      <w:proofErr w:type="gramStart"/>
      <w:r w:rsidRPr="00A60202">
        <w:t>conclusion of this comparison</w:t>
      </w:r>
      <w:proofErr w:type="gramEnd"/>
      <w:r w:rsidRPr="00A60202">
        <w:t xml:space="preserve">, </w:t>
      </w:r>
      <w:proofErr w:type="spellStart"/>
      <w:r w:rsidRPr="00A60202">
        <w:t>Trilliquary</w:t>
      </w:r>
      <w:proofErr w:type="spellEnd"/>
      <w:r w:rsidRPr="00A60202">
        <w:t xml:space="preserve"> is well-aligned with the cutting edge, but it’s a kind of </w:t>
      </w:r>
      <w:r w:rsidRPr="00A60202">
        <w:rPr>
          <w:b/>
          <w:bCs/>
        </w:rPr>
        <w:t>idealized amalgam</w:t>
      </w:r>
      <w:r w:rsidRPr="00A60202">
        <w:t xml:space="preserve"> of features that, in practice, are often studied in isolation. Implementing it would mean combining the multi-objective reasoning of MORL, the temporal deliberation of active inference or drift-diffusion, and the interpretability of a </w:t>
      </w:r>
      <w:r w:rsidRPr="00A60202">
        <w:lastRenderedPageBreak/>
        <w:t>factorized cognitive model. As we proceed, we will consider what it would take to develop such a system and what benefits it might bring across different domains.</w:t>
      </w:r>
    </w:p>
    <w:p w14:paraId="22DFB1E4" w14:textId="77777777" w:rsidR="00A60202" w:rsidRPr="00962879" w:rsidRDefault="00A60202" w:rsidP="00A60202">
      <w:pPr>
        <w:rPr>
          <w:b/>
          <w:bCs/>
        </w:rPr>
      </w:pPr>
      <w:r w:rsidRPr="00962879">
        <w:rPr>
          <w:b/>
          <w:bCs/>
        </w:rPr>
        <w:t xml:space="preserve">Cost-Benefit Analysis for Developing a </w:t>
      </w:r>
      <w:proofErr w:type="spellStart"/>
      <w:r w:rsidRPr="00962879">
        <w:rPr>
          <w:b/>
          <w:bCs/>
        </w:rPr>
        <w:t>Trilliquary</w:t>
      </w:r>
      <w:proofErr w:type="spellEnd"/>
      <w:r w:rsidRPr="00962879">
        <w:rPr>
          <w:b/>
          <w:bCs/>
        </w:rPr>
        <w:t>-like System</w:t>
      </w:r>
    </w:p>
    <w:p w14:paraId="7AB830B2" w14:textId="77777777" w:rsidR="00A60202" w:rsidRPr="00962879" w:rsidRDefault="00A60202" w:rsidP="00A60202">
      <w:r w:rsidRPr="00962879">
        <w:t xml:space="preserve">Creating a sophisticated multi-modal decision engine like the </w:t>
      </w:r>
      <w:proofErr w:type="spellStart"/>
      <w:r w:rsidRPr="00962879">
        <w:t>Trilliquary</w:t>
      </w:r>
      <w:proofErr w:type="spellEnd"/>
      <w:r w:rsidRPr="00962879">
        <w:t xml:space="preserve"> model is a non-trivial endeavor. The development cost and complexity can vary dramatically depending on the context – whether it’s a small independent team, an academic research project, or a large corporate R&amp;D effort. Below we break down the projected costs, resources, and benefits in three scenarios, and summarize them in a comparative table.</w:t>
      </w:r>
    </w:p>
    <w:p w14:paraId="073117B3" w14:textId="77777777" w:rsidR="00A60202" w:rsidRPr="00962879" w:rsidRDefault="00A60202" w:rsidP="00A60202">
      <w:r w:rsidRPr="00962879">
        <w:rPr>
          <w:b/>
          <w:bCs/>
        </w:rPr>
        <w:t>Scenario A: Small Team Indie Development</w:t>
      </w:r>
      <w:r w:rsidRPr="00962879">
        <w:t xml:space="preserve"> – Imagine a startup or indie lab with 3–5 developers and limited funding. Such a team can leverage open-source tools and pre-existing research. The cost primarily comes from salaries (or opportunity cost) and </w:t>
      </w:r>
      <w:proofErr w:type="gramStart"/>
      <w:r w:rsidRPr="00962879">
        <w:t>compute</w:t>
      </w:r>
      <w:proofErr w:type="gramEnd"/>
      <w:r w:rsidRPr="00962879">
        <w:t xml:space="preserve"> resources for experiments. A rough estimate for a year-long development is on the order of </w:t>
      </w:r>
      <w:r w:rsidRPr="00962879">
        <w:rPr>
          <w:b/>
          <w:bCs/>
        </w:rPr>
        <w:t>$50,000 to $300,000</w:t>
      </w:r>
      <w:r w:rsidRPr="00962879">
        <w:t xml:space="preserve">, depending on whether the team members draw minimal stipends or market-rate salaries. Industry surveys indicate that starting an AI project can cost </w:t>
      </w:r>
      <w:r w:rsidRPr="00962879">
        <w:rPr>
          <w:i/>
          <w:iCs/>
        </w:rPr>
        <w:t>“anywhere from $5,000 for simple models to over $500,000 for complex ones”</w:t>
      </w:r>
      <w:r w:rsidRPr="00962879">
        <w:rPr>
          <w:rFonts w:ascii="Arial" w:hAnsi="Arial" w:cs="Arial"/>
        </w:rPr>
        <w:t>​</w:t>
      </w:r>
    </w:p>
    <w:p w14:paraId="0166EB66" w14:textId="77777777" w:rsidR="00A60202" w:rsidRPr="00962879" w:rsidRDefault="00A60202" w:rsidP="00A60202">
      <w:hyperlink r:id="rId23" w:anchor=":~:text=Starting%20an%20AI%20project%20can,and%20complexity%20of%20the%20project" w:tgtFrame="_blank" w:history="1">
        <w:r w:rsidRPr="00962879">
          <w:rPr>
            <w:rStyle w:val="Hyperlink"/>
          </w:rPr>
          <w:t>future-processing.com</w:t>
        </w:r>
      </w:hyperlink>
    </w:p>
    <w:p w14:paraId="64615276" w14:textId="77777777" w:rsidR="00A60202" w:rsidRPr="00962879" w:rsidRDefault="00A60202" w:rsidP="00A60202">
      <w:r w:rsidRPr="00962879">
        <w:t xml:space="preserve">. A </w:t>
      </w:r>
      <w:proofErr w:type="spellStart"/>
      <w:r w:rsidRPr="00962879">
        <w:t>Trilliquary</w:t>
      </w:r>
      <w:proofErr w:type="spellEnd"/>
      <w:r w:rsidRPr="00962879">
        <w:t xml:space="preserve">-like system leans toward the complex end, but an indie team might achieve a prototype by using existing platforms (e.g. a deep learning framework for the neural parts, a game engine for simulations). </w:t>
      </w:r>
      <w:r w:rsidRPr="00962879">
        <w:rPr>
          <w:b/>
          <w:bCs/>
        </w:rPr>
        <w:t>Benefits:</w:t>
      </w:r>
      <w:r w:rsidRPr="00962879">
        <w:t xml:space="preserve"> The small team is agile and can iterate quickly on creative ideas, possibly achieving a proof-of-concept of the core architecture (for example, demonstrating a 3-module toy system with emergent behavior in a simple environment). They might produce publishable insights or even a niche product (say, an AI module that can be licensed for games to give characters more human-like decision patterns). </w:t>
      </w:r>
      <w:r w:rsidRPr="00962879">
        <w:rPr>
          <w:b/>
          <w:bCs/>
        </w:rPr>
        <w:t>Risks/Challenges:</w:t>
      </w:r>
      <w:r w:rsidRPr="00962879">
        <w:t xml:space="preserve"> Limited manpower means not all components can be built from scratch – the team must integrate off-the-shelf components (for vision, NLP, etc., if needed for multi-modality) which can be time-consuming. Also, without large-scale resources, the resulting system might not scale or perform as well in real-world complexity. Testing and validation would likely be limited to simulations. The small team could face issues if the problem is harder than anticipated (which it </w:t>
      </w:r>
      <w:proofErr w:type="gramStart"/>
      <w:r w:rsidRPr="00962879">
        <w:t>likely is</w:t>
      </w:r>
      <w:proofErr w:type="gramEnd"/>
      <w:r w:rsidRPr="00962879">
        <w:t xml:space="preserve">), potentially running out of funds. Open-source contributions and community support could mitigate </w:t>
      </w:r>
      <w:proofErr w:type="gramStart"/>
      <w:r w:rsidRPr="00962879">
        <w:t>cost</w:t>
      </w:r>
      <w:proofErr w:type="gramEnd"/>
      <w:r w:rsidRPr="00962879">
        <w:t xml:space="preserve"> (for instance, using cloud credits or collaborating with academic volunteers). The </w:t>
      </w:r>
      <w:r w:rsidRPr="00962879">
        <w:rPr>
          <w:i/>
          <w:iCs/>
        </w:rPr>
        <w:t>opportunity cost</w:t>
      </w:r>
      <w:r w:rsidRPr="00962879">
        <w:t xml:space="preserve"> is that such a project might take a year or two during which the team isn’t pursuing immediate revenue – the payoff is speculative.</w:t>
      </w:r>
    </w:p>
    <w:p w14:paraId="04A571BB" w14:textId="77777777" w:rsidR="00A60202" w:rsidRPr="00962879" w:rsidRDefault="00A60202" w:rsidP="00A60202">
      <w:r w:rsidRPr="00962879">
        <w:rPr>
          <w:b/>
          <w:bCs/>
        </w:rPr>
        <w:t>Scenario B: Mid-Size Academic Project (Grant-Funded)</w:t>
      </w:r>
      <w:r w:rsidRPr="00962879">
        <w:t xml:space="preserve"> – Consider a university-led project with a principal investigator (PI) and a team of perhaps 1-2 postdoctoral </w:t>
      </w:r>
      <w:r w:rsidRPr="00962879">
        <w:lastRenderedPageBreak/>
        <w:t xml:space="preserve">researchers and 3-5 PhD students, over a </w:t>
      </w:r>
      <w:proofErr w:type="gramStart"/>
      <w:r w:rsidRPr="00962879">
        <w:t>3-4 year</w:t>
      </w:r>
      <w:proofErr w:type="gramEnd"/>
      <w:r w:rsidRPr="00962879">
        <w:t xml:space="preserve"> period. Such a project might be supported by a government grant or a consortium, with a budget in the </w:t>
      </w:r>
      <w:r w:rsidRPr="00962879">
        <w:rPr>
          <w:b/>
          <w:bCs/>
        </w:rPr>
        <w:t>$0.5 to $3 million</w:t>
      </w:r>
      <w:r w:rsidRPr="00962879">
        <w:t xml:space="preserve"> range. For example, national grants for multi-disciplinary AI research (NSF or EU Horizon Europe) </w:t>
      </w:r>
      <w:proofErr w:type="gramStart"/>
      <w:r w:rsidRPr="00962879">
        <w:t>often award</w:t>
      </w:r>
      <w:proofErr w:type="gramEnd"/>
      <w:r w:rsidRPr="00962879">
        <w:t xml:space="preserve"> in the low millions for 3+ year projects. This budget covers student stipends, </w:t>
      </w:r>
      <w:proofErr w:type="gramStart"/>
      <w:r w:rsidRPr="00962879">
        <w:t>researcher</w:t>
      </w:r>
      <w:proofErr w:type="gramEnd"/>
      <w:r w:rsidRPr="00962879">
        <w:t xml:space="preserve"> salaries, equipment (computing clusters), and overheads. Indeed, specialized programs like DARPA’s can be larger (the ITM program contracts were ~$11.5M for a team over 3-4 years</w:t>
      </w:r>
      <w:r w:rsidRPr="00962879">
        <w:rPr>
          <w:rFonts w:ascii="Arial" w:hAnsi="Arial" w:cs="Arial"/>
        </w:rPr>
        <w:t>​</w:t>
      </w:r>
    </w:p>
    <w:p w14:paraId="5A08D159" w14:textId="77777777" w:rsidR="00A60202" w:rsidRPr="00962879" w:rsidRDefault="00A60202" w:rsidP="00A60202">
      <w:hyperlink r:id="rId24" w:anchor=":~:text=Clifton%20Park%2C%20N,making%20technology%20in%20other%20areas" w:tgtFrame="_blank" w:history="1">
        <w:r w:rsidRPr="00962879">
          <w:rPr>
            <w:rStyle w:val="Hyperlink"/>
          </w:rPr>
          <w:t>kitware.com</w:t>
        </w:r>
      </w:hyperlink>
    </w:p>
    <w:p w14:paraId="1F5428F0" w14:textId="77777777" w:rsidR="00A60202" w:rsidRPr="00962879" w:rsidRDefault="00A60202" w:rsidP="00A60202">
      <w:r w:rsidRPr="00962879">
        <w:t xml:space="preserve">, but those involve multiple organizations). A more academic-scale example is a European CHIST-ERA grant or U.S. NSF expedition which might give a few million to study “cognitive architectures for autonomous systems.” </w:t>
      </w:r>
      <w:r w:rsidRPr="00962879">
        <w:rPr>
          <w:b/>
          <w:bCs/>
        </w:rPr>
        <w:t>Benefits:</w:t>
      </w:r>
      <w:r w:rsidRPr="00962879">
        <w:t xml:space="preserve"> The academic environment brings together expertise from multiple fields – one could have a cognitive scientist, a machine learning expert, and a systems engineer collaborating, which is ideal for building something like </w:t>
      </w:r>
      <w:proofErr w:type="spellStart"/>
      <w:r w:rsidRPr="00962879">
        <w:t>Trilliquary</w:t>
      </w:r>
      <w:proofErr w:type="spellEnd"/>
      <w:r w:rsidRPr="00962879">
        <w:t xml:space="preserve">. The goals can be longer-term and knowledge-driven rather than immediately commercial, allowing exploration of fundamental questions (e.g. how to mathematically prove stability of the 3-layer model, or running human-in-the-loop experiments to tune the relation axis). The team can also draw on student talent for relatively low cost and engage international collaborators freely. The outcome might be a working prototype tested on complex simulations (like social dilemma </w:t>
      </w:r>
      <w:proofErr w:type="gramStart"/>
      <w:r w:rsidRPr="00962879">
        <w:t>environments, or</w:t>
      </w:r>
      <w:proofErr w:type="gramEnd"/>
      <w:r w:rsidRPr="00962879">
        <w:t xml:space="preserve"> driving simulators) and a series of research papers (neuroscience, AI, and maybe a patent). </w:t>
      </w:r>
      <w:r w:rsidRPr="00962879">
        <w:rPr>
          <w:b/>
          <w:bCs/>
        </w:rPr>
        <w:t>Risks/Challenges:</w:t>
      </w:r>
      <w:r w:rsidRPr="00962879">
        <w:t xml:space="preserve"> Academic projects can suffer from scope creep and diffused responsibility. Ensuring that a fully integrated system is built (not just pieces studied in isolation) requires strong project management, which academia isn’t always known for. Also, if the project is too ambitious, there’s a risk of not meeting all goals by the grant’s end – but even partial success (e.g. demonstrating a novel multi-axis learning algorithm) would still be a contribution. In terms of cost-benefit, the salary costs are lower than industry, but the indirect costs (university overhead ~50%) are significant. One benefit is that academics often share their results openly, so even if the immediate project doesn’t yield a deployable product, it advances the scientific state of the art significantly, which is a different kind of ROI (publications, open-source frameworks, trained experts).</w:t>
      </w:r>
    </w:p>
    <w:p w14:paraId="7AB33E59" w14:textId="77777777" w:rsidR="00A60202" w:rsidRPr="00962879" w:rsidRDefault="00A60202" w:rsidP="00A60202">
      <w:r w:rsidRPr="00962879">
        <w:rPr>
          <w:b/>
          <w:bCs/>
        </w:rPr>
        <w:t>Scenario C: Large-Scale Corporate R&amp;D</w:t>
      </w:r>
      <w:r w:rsidRPr="00962879">
        <w:t xml:space="preserve"> – Envision a major tech company or a well-funded AI lab tackling this problem. They might allocate a dedicated team of 10–20 researchers and engineers (with multidisciplinary backgrounds), plus significant computing resources (tens of GPUs or TPUs for training complex models, simulation environments, etc.). The project might run for 2–3 years as part of a product initiative (for instance, improving an AI assistant’s decision logic, or developing a next-gen autonomous </w:t>
      </w:r>
      <w:r w:rsidRPr="00962879">
        <w:lastRenderedPageBreak/>
        <w:t xml:space="preserve">agent platform). The budget here can easily reach </w:t>
      </w:r>
      <w:r w:rsidRPr="00962879">
        <w:rPr>
          <w:b/>
          <w:bCs/>
        </w:rPr>
        <w:t>$10–50+ million</w:t>
      </w:r>
      <w:r w:rsidRPr="00962879">
        <w:t>. Top AI talent is expensive (experienced AI researchers in industry can cost $200k+ fully loaded per year), and large compute experiments can burn millions (training cutting-edge models has been estimated at millions per run</w:t>
      </w:r>
      <w:r w:rsidRPr="00962879">
        <w:rPr>
          <w:rFonts w:ascii="Arial" w:hAnsi="Arial" w:cs="Arial"/>
        </w:rPr>
        <w:t>​</w:t>
      </w:r>
    </w:p>
    <w:p w14:paraId="496BE141" w14:textId="77777777" w:rsidR="00A60202" w:rsidRPr="00962879" w:rsidRDefault="00A60202" w:rsidP="00A60202">
      <w:hyperlink r:id="rId25" w:anchor=":~:text=Applications%3F%20gigster,This%20cost%20includes%20computing" w:tgtFrame="_blank" w:history="1">
        <w:r w:rsidRPr="00962879">
          <w:rPr>
            <w:rStyle w:val="Hyperlink"/>
          </w:rPr>
          <w:t>gigster.com</w:t>
        </w:r>
      </w:hyperlink>
    </w:p>
    <w:p w14:paraId="4AAD5D72" w14:textId="77777777" w:rsidR="00A60202" w:rsidRPr="00962879" w:rsidRDefault="00A60202" w:rsidP="00A60202">
      <w:r w:rsidRPr="00962879">
        <w:t xml:space="preserve">). Moreover, opportunity cost in a company is high – those people and compute could alternatively be building more immediately profitable features. However, big companies do invest heavily in foundational AI: e.g. </w:t>
      </w:r>
      <w:proofErr w:type="spellStart"/>
      <w:r w:rsidRPr="00962879">
        <w:t>Anthropic’s</w:t>
      </w:r>
      <w:proofErr w:type="spellEnd"/>
      <w:r w:rsidRPr="00962879">
        <w:t xml:space="preserve"> CEO estimated next-gen AI system development at ~$1 billion in 2024</w:t>
      </w:r>
      <w:r w:rsidRPr="00962879">
        <w:rPr>
          <w:rFonts w:ascii="Arial" w:hAnsi="Arial" w:cs="Arial"/>
        </w:rPr>
        <w:t>​</w:t>
      </w:r>
    </w:p>
    <w:p w14:paraId="77E6A84A" w14:textId="77777777" w:rsidR="00A60202" w:rsidRPr="00962879" w:rsidRDefault="00A60202" w:rsidP="00A60202">
      <w:hyperlink r:id="rId26" w:anchor=":~:text=A%20rtificial%20intelligence%20executives%20have,cost%20more%20like%20%2410%20billion" w:tgtFrame="_blank" w:history="1">
        <w:r w:rsidRPr="00962879">
          <w:rPr>
            <w:rStyle w:val="Hyperlink"/>
          </w:rPr>
          <w:t>time.com</w:t>
        </w:r>
      </w:hyperlink>
    </w:p>
    <w:p w14:paraId="66D322D4" w14:textId="77777777" w:rsidR="00A60202" w:rsidRPr="00962879" w:rsidRDefault="00A60202" w:rsidP="00A60202">
      <w:r w:rsidRPr="00962879">
        <w:t xml:space="preserve">. While </w:t>
      </w:r>
      <w:proofErr w:type="spellStart"/>
      <w:r w:rsidRPr="00962879">
        <w:t>Trilliquary</w:t>
      </w:r>
      <w:proofErr w:type="spellEnd"/>
      <w:r w:rsidRPr="00962879">
        <w:t xml:space="preserve"> is not a giant language model, integrating multiple modalities and objectives might still involve training sizable models or running extensive simulations, justifying a substantial budget. </w:t>
      </w:r>
      <w:r w:rsidRPr="00962879">
        <w:rPr>
          <w:b/>
          <w:bCs/>
        </w:rPr>
        <w:t>Benefits:</w:t>
      </w:r>
      <w:r w:rsidRPr="00962879">
        <w:t xml:space="preserve"> With corporate muscle, the development can be far more robust. The team could integrate the system into a realistic setting – for example, deploying a risk-reward-relation engine in a self-driving car prototype or a strategy game AI with millions of users for testing. They can gather huge datasets for each axis: risk models from safety databases, reward models from user engagement stats, relational models from social media or expert demonstrations. This data-driven approach could refine the system beyond what a small or academic team could achieve. The final product might be a proprietary AI decision platform that gives the company a competitive edge (e.g. a virtual assistant that makes more nuanced decisions, or a recommendation system that balances user satisfaction with business metrics responsibly). The ROI, if successful, could be massive, establishing a new standard in AI capability that competitors find hard to replicate without similar investment. Additionally, the company can protect intellectual property via patents (though core concepts might also be published to demonstrate thought leadership). </w:t>
      </w:r>
      <w:r w:rsidRPr="00962879">
        <w:rPr>
          <w:b/>
          <w:bCs/>
        </w:rPr>
        <w:t>Risks/Challenges:</w:t>
      </w:r>
      <w:r w:rsidRPr="00962879">
        <w:t xml:space="preserve"> Large R&amp;D projects can fail to deliver if not properly aligned with business needs. One risk is that the resulting system is too complex to maintain or too opaque to deploy (even if it works in prototype, companies might be wary to trust an emergent system in critical roles without explainability; this is where </w:t>
      </w:r>
      <w:proofErr w:type="spellStart"/>
      <w:r w:rsidRPr="00962879">
        <w:t>Trilliquary’s</w:t>
      </w:r>
      <w:proofErr w:type="spellEnd"/>
      <w:r w:rsidRPr="00962879">
        <w:t xml:space="preserve"> interpretability via axes could help). Also, the cost means management will expect usable outcomes – there could be pressure to deliver incremental features (e.g. “give me a risk score I can plug into my existing system” rather than the full </w:t>
      </w:r>
      <w:proofErr w:type="spellStart"/>
      <w:r w:rsidRPr="00962879">
        <w:t>Trilliquary</w:t>
      </w:r>
      <w:proofErr w:type="spellEnd"/>
      <w:r w:rsidRPr="00962879">
        <w:t xml:space="preserve"> architecture), which might lead to only partial adoption of the ideas. In </w:t>
      </w:r>
      <w:proofErr w:type="gramStart"/>
      <w:r w:rsidRPr="00962879">
        <w:t>worst</w:t>
      </w:r>
      <w:proofErr w:type="gramEnd"/>
      <w:r w:rsidRPr="00962879">
        <w:t xml:space="preserve"> case, if the project flops, it’s a multi-</w:t>
      </w:r>
      <w:proofErr w:type="gramStart"/>
      <w:r w:rsidRPr="00962879">
        <w:t>million dollar</w:t>
      </w:r>
      <w:proofErr w:type="gramEnd"/>
      <w:r w:rsidRPr="00962879">
        <w:t xml:space="preserve"> write-off. But big firms can absorb that, chalking it up to research – as evidenced by them pouring billions into next-gen AI despite uncertain paths</w:t>
      </w:r>
      <w:r w:rsidRPr="00962879">
        <w:rPr>
          <w:rFonts w:ascii="Arial" w:hAnsi="Arial" w:cs="Arial"/>
        </w:rPr>
        <w:t>​</w:t>
      </w:r>
    </w:p>
    <w:p w14:paraId="4CEC1A46" w14:textId="77777777" w:rsidR="00A60202" w:rsidRPr="00962879" w:rsidRDefault="00A60202" w:rsidP="00A60202">
      <w:hyperlink r:id="rId27" w:anchor=":~:text=A%20rtificial%20intelligence%20executives%20have,cost%20more%20like%20%2410%20billion" w:tgtFrame="_blank" w:history="1">
        <w:r w:rsidRPr="00962879">
          <w:rPr>
            <w:rStyle w:val="Hyperlink"/>
          </w:rPr>
          <w:t>time.com</w:t>
        </w:r>
      </w:hyperlink>
    </w:p>
    <w:p w14:paraId="4DF3987B" w14:textId="77777777" w:rsidR="0034533E" w:rsidRDefault="0034533E"/>
    <w:sectPr w:rsidR="00345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02"/>
    <w:rsid w:val="0003591A"/>
    <w:rsid w:val="00292055"/>
    <w:rsid w:val="0034533E"/>
    <w:rsid w:val="006C2645"/>
    <w:rsid w:val="009D7397"/>
    <w:rsid w:val="00A60202"/>
    <w:rsid w:val="00BD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2E8F"/>
  <w15:chartTrackingRefBased/>
  <w15:docId w15:val="{ACAFB0EA-B31F-4856-BF8D-15D818938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202"/>
    <w:rPr>
      <w:rFonts w:eastAsiaTheme="majorEastAsia" w:cstheme="majorBidi"/>
      <w:color w:val="272727" w:themeColor="text1" w:themeTint="D8"/>
    </w:rPr>
  </w:style>
  <w:style w:type="paragraph" w:styleId="Title">
    <w:name w:val="Title"/>
    <w:basedOn w:val="Normal"/>
    <w:next w:val="Normal"/>
    <w:link w:val="TitleChar"/>
    <w:uiPriority w:val="10"/>
    <w:qFormat/>
    <w:rsid w:val="00A60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202"/>
    <w:pPr>
      <w:spacing w:before="160"/>
      <w:jc w:val="center"/>
    </w:pPr>
    <w:rPr>
      <w:i/>
      <w:iCs/>
      <w:color w:val="404040" w:themeColor="text1" w:themeTint="BF"/>
    </w:rPr>
  </w:style>
  <w:style w:type="character" w:customStyle="1" w:styleId="QuoteChar">
    <w:name w:val="Quote Char"/>
    <w:basedOn w:val="DefaultParagraphFont"/>
    <w:link w:val="Quote"/>
    <w:uiPriority w:val="29"/>
    <w:rsid w:val="00A60202"/>
    <w:rPr>
      <w:i/>
      <w:iCs/>
      <w:color w:val="404040" w:themeColor="text1" w:themeTint="BF"/>
    </w:rPr>
  </w:style>
  <w:style w:type="paragraph" w:styleId="ListParagraph">
    <w:name w:val="List Paragraph"/>
    <w:basedOn w:val="Normal"/>
    <w:uiPriority w:val="34"/>
    <w:qFormat/>
    <w:rsid w:val="00A60202"/>
    <w:pPr>
      <w:ind w:left="720"/>
      <w:contextualSpacing/>
    </w:pPr>
  </w:style>
  <w:style w:type="character" w:styleId="IntenseEmphasis">
    <w:name w:val="Intense Emphasis"/>
    <w:basedOn w:val="DefaultParagraphFont"/>
    <w:uiPriority w:val="21"/>
    <w:qFormat/>
    <w:rsid w:val="00A60202"/>
    <w:rPr>
      <w:i/>
      <w:iCs/>
      <w:color w:val="0F4761" w:themeColor="accent1" w:themeShade="BF"/>
    </w:rPr>
  </w:style>
  <w:style w:type="paragraph" w:styleId="IntenseQuote">
    <w:name w:val="Intense Quote"/>
    <w:basedOn w:val="Normal"/>
    <w:next w:val="Normal"/>
    <w:link w:val="IntenseQuoteChar"/>
    <w:uiPriority w:val="30"/>
    <w:qFormat/>
    <w:rsid w:val="00A60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202"/>
    <w:rPr>
      <w:i/>
      <w:iCs/>
      <w:color w:val="0F4761" w:themeColor="accent1" w:themeShade="BF"/>
    </w:rPr>
  </w:style>
  <w:style w:type="character" w:styleId="IntenseReference">
    <w:name w:val="Intense Reference"/>
    <w:basedOn w:val="DefaultParagraphFont"/>
    <w:uiPriority w:val="32"/>
    <w:qFormat/>
    <w:rsid w:val="00A60202"/>
    <w:rPr>
      <w:b/>
      <w:bCs/>
      <w:smallCaps/>
      <w:color w:val="0F4761" w:themeColor="accent1" w:themeShade="BF"/>
      <w:spacing w:val="5"/>
    </w:rPr>
  </w:style>
  <w:style w:type="character" w:styleId="Hyperlink">
    <w:name w:val="Hyperlink"/>
    <w:basedOn w:val="DefaultParagraphFont"/>
    <w:uiPriority w:val="99"/>
    <w:unhideWhenUsed/>
    <w:rsid w:val="00A60202"/>
    <w:rPr>
      <w:color w:val="467886" w:themeColor="hyperlink"/>
      <w:u w:val="single"/>
    </w:rPr>
  </w:style>
  <w:style w:type="character" w:styleId="UnresolvedMention">
    <w:name w:val="Unresolved Mention"/>
    <w:basedOn w:val="DefaultParagraphFont"/>
    <w:uiPriority w:val="99"/>
    <w:semiHidden/>
    <w:unhideWhenUsed/>
    <w:rsid w:val="00A60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774">
      <w:bodyDiv w:val="1"/>
      <w:marLeft w:val="0"/>
      <w:marRight w:val="0"/>
      <w:marTop w:val="0"/>
      <w:marBottom w:val="0"/>
      <w:divBdr>
        <w:top w:val="none" w:sz="0" w:space="0" w:color="auto"/>
        <w:left w:val="none" w:sz="0" w:space="0" w:color="auto"/>
        <w:bottom w:val="none" w:sz="0" w:space="0" w:color="auto"/>
        <w:right w:val="none" w:sz="0" w:space="0" w:color="auto"/>
      </w:divBdr>
      <w:divsChild>
        <w:div w:id="825170653">
          <w:marLeft w:val="0"/>
          <w:marRight w:val="0"/>
          <w:marTop w:val="0"/>
          <w:marBottom w:val="0"/>
          <w:divBdr>
            <w:top w:val="none" w:sz="0" w:space="0" w:color="auto"/>
            <w:left w:val="none" w:sz="0" w:space="0" w:color="auto"/>
            <w:bottom w:val="none" w:sz="0" w:space="0" w:color="auto"/>
            <w:right w:val="none" w:sz="0" w:space="0" w:color="auto"/>
          </w:divBdr>
        </w:div>
        <w:div w:id="226764471">
          <w:marLeft w:val="0"/>
          <w:marRight w:val="0"/>
          <w:marTop w:val="0"/>
          <w:marBottom w:val="0"/>
          <w:divBdr>
            <w:top w:val="none" w:sz="0" w:space="0" w:color="auto"/>
            <w:left w:val="none" w:sz="0" w:space="0" w:color="auto"/>
            <w:bottom w:val="none" w:sz="0" w:space="0" w:color="auto"/>
            <w:right w:val="none" w:sz="0" w:space="0" w:color="auto"/>
          </w:divBdr>
        </w:div>
        <w:div w:id="1035497232">
          <w:marLeft w:val="0"/>
          <w:marRight w:val="0"/>
          <w:marTop w:val="0"/>
          <w:marBottom w:val="0"/>
          <w:divBdr>
            <w:top w:val="none" w:sz="0" w:space="0" w:color="auto"/>
            <w:left w:val="none" w:sz="0" w:space="0" w:color="auto"/>
            <w:bottom w:val="none" w:sz="0" w:space="0" w:color="auto"/>
            <w:right w:val="none" w:sz="0" w:space="0" w:color="auto"/>
          </w:divBdr>
        </w:div>
        <w:div w:id="1370227316">
          <w:marLeft w:val="0"/>
          <w:marRight w:val="0"/>
          <w:marTop w:val="0"/>
          <w:marBottom w:val="0"/>
          <w:divBdr>
            <w:top w:val="none" w:sz="0" w:space="0" w:color="auto"/>
            <w:left w:val="none" w:sz="0" w:space="0" w:color="auto"/>
            <w:bottom w:val="none" w:sz="0" w:space="0" w:color="auto"/>
            <w:right w:val="none" w:sz="0" w:space="0" w:color="auto"/>
          </w:divBdr>
        </w:div>
        <w:div w:id="321474166">
          <w:marLeft w:val="0"/>
          <w:marRight w:val="0"/>
          <w:marTop w:val="0"/>
          <w:marBottom w:val="0"/>
          <w:divBdr>
            <w:top w:val="none" w:sz="0" w:space="0" w:color="auto"/>
            <w:left w:val="none" w:sz="0" w:space="0" w:color="auto"/>
            <w:bottom w:val="none" w:sz="0" w:space="0" w:color="auto"/>
            <w:right w:val="none" w:sz="0" w:space="0" w:color="auto"/>
          </w:divBdr>
        </w:div>
        <w:div w:id="561722699">
          <w:marLeft w:val="0"/>
          <w:marRight w:val="0"/>
          <w:marTop w:val="0"/>
          <w:marBottom w:val="0"/>
          <w:divBdr>
            <w:top w:val="none" w:sz="0" w:space="0" w:color="auto"/>
            <w:left w:val="none" w:sz="0" w:space="0" w:color="auto"/>
            <w:bottom w:val="none" w:sz="0" w:space="0" w:color="auto"/>
            <w:right w:val="none" w:sz="0" w:space="0" w:color="auto"/>
          </w:divBdr>
        </w:div>
        <w:div w:id="501628377">
          <w:marLeft w:val="0"/>
          <w:marRight w:val="0"/>
          <w:marTop w:val="0"/>
          <w:marBottom w:val="0"/>
          <w:divBdr>
            <w:top w:val="none" w:sz="0" w:space="0" w:color="auto"/>
            <w:left w:val="none" w:sz="0" w:space="0" w:color="auto"/>
            <w:bottom w:val="none" w:sz="0" w:space="0" w:color="auto"/>
            <w:right w:val="none" w:sz="0" w:space="0" w:color="auto"/>
          </w:divBdr>
        </w:div>
        <w:div w:id="965232796">
          <w:marLeft w:val="0"/>
          <w:marRight w:val="0"/>
          <w:marTop w:val="0"/>
          <w:marBottom w:val="0"/>
          <w:divBdr>
            <w:top w:val="none" w:sz="0" w:space="0" w:color="auto"/>
            <w:left w:val="none" w:sz="0" w:space="0" w:color="auto"/>
            <w:bottom w:val="none" w:sz="0" w:space="0" w:color="auto"/>
            <w:right w:val="none" w:sz="0" w:space="0" w:color="auto"/>
          </w:divBdr>
        </w:div>
        <w:div w:id="749153178">
          <w:marLeft w:val="0"/>
          <w:marRight w:val="0"/>
          <w:marTop w:val="0"/>
          <w:marBottom w:val="0"/>
          <w:divBdr>
            <w:top w:val="none" w:sz="0" w:space="0" w:color="auto"/>
            <w:left w:val="none" w:sz="0" w:space="0" w:color="auto"/>
            <w:bottom w:val="none" w:sz="0" w:space="0" w:color="auto"/>
            <w:right w:val="none" w:sz="0" w:space="0" w:color="auto"/>
          </w:divBdr>
        </w:div>
        <w:div w:id="1059476737">
          <w:marLeft w:val="0"/>
          <w:marRight w:val="0"/>
          <w:marTop w:val="0"/>
          <w:marBottom w:val="0"/>
          <w:divBdr>
            <w:top w:val="none" w:sz="0" w:space="0" w:color="auto"/>
            <w:left w:val="none" w:sz="0" w:space="0" w:color="auto"/>
            <w:bottom w:val="none" w:sz="0" w:space="0" w:color="auto"/>
            <w:right w:val="none" w:sz="0" w:space="0" w:color="auto"/>
          </w:divBdr>
        </w:div>
        <w:div w:id="866723138">
          <w:marLeft w:val="0"/>
          <w:marRight w:val="0"/>
          <w:marTop w:val="0"/>
          <w:marBottom w:val="0"/>
          <w:divBdr>
            <w:top w:val="none" w:sz="0" w:space="0" w:color="auto"/>
            <w:left w:val="none" w:sz="0" w:space="0" w:color="auto"/>
            <w:bottom w:val="none" w:sz="0" w:space="0" w:color="auto"/>
            <w:right w:val="none" w:sz="0" w:space="0" w:color="auto"/>
          </w:divBdr>
        </w:div>
        <w:div w:id="1842423982">
          <w:marLeft w:val="0"/>
          <w:marRight w:val="0"/>
          <w:marTop w:val="0"/>
          <w:marBottom w:val="0"/>
          <w:divBdr>
            <w:top w:val="none" w:sz="0" w:space="0" w:color="auto"/>
            <w:left w:val="none" w:sz="0" w:space="0" w:color="auto"/>
            <w:bottom w:val="none" w:sz="0" w:space="0" w:color="auto"/>
            <w:right w:val="none" w:sz="0" w:space="0" w:color="auto"/>
          </w:divBdr>
        </w:div>
        <w:div w:id="565995423">
          <w:marLeft w:val="0"/>
          <w:marRight w:val="0"/>
          <w:marTop w:val="0"/>
          <w:marBottom w:val="0"/>
          <w:divBdr>
            <w:top w:val="none" w:sz="0" w:space="0" w:color="auto"/>
            <w:left w:val="none" w:sz="0" w:space="0" w:color="auto"/>
            <w:bottom w:val="none" w:sz="0" w:space="0" w:color="auto"/>
            <w:right w:val="none" w:sz="0" w:space="0" w:color="auto"/>
          </w:divBdr>
        </w:div>
        <w:div w:id="1591234657">
          <w:marLeft w:val="0"/>
          <w:marRight w:val="0"/>
          <w:marTop w:val="0"/>
          <w:marBottom w:val="0"/>
          <w:divBdr>
            <w:top w:val="none" w:sz="0" w:space="0" w:color="auto"/>
            <w:left w:val="none" w:sz="0" w:space="0" w:color="auto"/>
            <w:bottom w:val="none" w:sz="0" w:space="0" w:color="auto"/>
            <w:right w:val="none" w:sz="0" w:space="0" w:color="auto"/>
          </w:divBdr>
        </w:div>
        <w:div w:id="930433175">
          <w:marLeft w:val="0"/>
          <w:marRight w:val="0"/>
          <w:marTop w:val="0"/>
          <w:marBottom w:val="0"/>
          <w:divBdr>
            <w:top w:val="none" w:sz="0" w:space="0" w:color="auto"/>
            <w:left w:val="none" w:sz="0" w:space="0" w:color="auto"/>
            <w:bottom w:val="none" w:sz="0" w:space="0" w:color="auto"/>
            <w:right w:val="none" w:sz="0" w:space="0" w:color="auto"/>
          </w:divBdr>
        </w:div>
        <w:div w:id="1958874306">
          <w:marLeft w:val="0"/>
          <w:marRight w:val="0"/>
          <w:marTop w:val="0"/>
          <w:marBottom w:val="0"/>
          <w:divBdr>
            <w:top w:val="none" w:sz="0" w:space="0" w:color="auto"/>
            <w:left w:val="none" w:sz="0" w:space="0" w:color="auto"/>
            <w:bottom w:val="none" w:sz="0" w:space="0" w:color="auto"/>
            <w:right w:val="none" w:sz="0" w:space="0" w:color="auto"/>
          </w:divBdr>
        </w:div>
        <w:div w:id="1827358788">
          <w:marLeft w:val="0"/>
          <w:marRight w:val="0"/>
          <w:marTop w:val="0"/>
          <w:marBottom w:val="0"/>
          <w:divBdr>
            <w:top w:val="none" w:sz="0" w:space="0" w:color="auto"/>
            <w:left w:val="none" w:sz="0" w:space="0" w:color="auto"/>
            <w:bottom w:val="none" w:sz="0" w:space="0" w:color="auto"/>
            <w:right w:val="none" w:sz="0" w:space="0" w:color="auto"/>
          </w:divBdr>
        </w:div>
        <w:div w:id="2070762396">
          <w:marLeft w:val="0"/>
          <w:marRight w:val="0"/>
          <w:marTop w:val="0"/>
          <w:marBottom w:val="0"/>
          <w:divBdr>
            <w:top w:val="none" w:sz="0" w:space="0" w:color="auto"/>
            <w:left w:val="none" w:sz="0" w:space="0" w:color="auto"/>
            <w:bottom w:val="none" w:sz="0" w:space="0" w:color="auto"/>
            <w:right w:val="none" w:sz="0" w:space="0" w:color="auto"/>
          </w:divBdr>
        </w:div>
        <w:div w:id="531264034">
          <w:marLeft w:val="0"/>
          <w:marRight w:val="0"/>
          <w:marTop w:val="0"/>
          <w:marBottom w:val="0"/>
          <w:divBdr>
            <w:top w:val="none" w:sz="0" w:space="0" w:color="auto"/>
            <w:left w:val="none" w:sz="0" w:space="0" w:color="auto"/>
            <w:bottom w:val="none" w:sz="0" w:space="0" w:color="auto"/>
            <w:right w:val="none" w:sz="0" w:space="0" w:color="auto"/>
          </w:divBdr>
        </w:div>
        <w:div w:id="1061369766">
          <w:marLeft w:val="0"/>
          <w:marRight w:val="0"/>
          <w:marTop w:val="0"/>
          <w:marBottom w:val="0"/>
          <w:divBdr>
            <w:top w:val="none" w:sz="0" w:space="0" w:color="auto"/>
            <w:left w:val="none" w:sz="0" w:space="0" w:color="auto"/>
            <w:bottom w:val="none" w:sz="0" w:space="0" w:color="auto"/>
            <w:right w:val="none" w:sz="0" w:space="0" w:color="auto"/>
          </w:divBdr>
        </w:div>
      </w:divsChild>
    </w:div>
    <w:div w:id="2074884237">
      <w:bodyDiv w:val="1"/>
      <w:marLeft w:val="0"/>
      <w:marRight w:val="0"/>
      <w:marTop w:val="0"/>
      <w:marBottom w:val="0"/>
      <w:divBdr>
        <w:top w:val="none" w:sz="0" w:space="0" w:color="auto"/>
        <w:left w:val="none" w:sz="0" w:space="0" w:color="auto"/>
        <w:bottom w:val="none" w:sz="0" w:space="0" w:color="auto"/>
        <w:right w:val="none" w:sz="0" w:space="0" w:color="auto"/>
      </w:divBdr>
      <w:divsChild>
        <w:div w:id="965312113">
          <w:marLeft w:val="0"/>
          <w:marRight w:val="0"/>
          <w:marTop w:val="0"/>
          <w:marBottom w:val="0"/>
          <w:divBdr>
            <w:top w:val="none" w:sz="0" w:space="0" w:color="auto"/>
            <w:left w:val="none" w:sz="0" w:space="0" w:color="auto"/>
            <w:bottom w:val="none" w:sz="0" w:space="0" w:color="auto"/>
            <w:right w:val="none" w:sz="0" w:space="0" w:color="auto"/>
          </w:divBdr>
        </w:div>
        <w:div w:id="1966039492">
          <w:marLeft w:val="0"/>
          <w:marRight w:val="0"/>
          <w:marTop w:val="0"/>
          <w:marBottom w:val="0"/>
          <w:divBdr>
            <w:top w:val="none" w:sz="0" w:space="0" w:color="auto"/>
            <w:left w:val="none" w:sz="0" w:space="0" w:color="auto"/>
            <w:bottom w:val="none" w:sz="0" w:space="0" w:color="auto"/>
            <w:right w:val="none" w:sz="0" w:space="0" w:color="auto"/>
          </w:divBdr>
        </w:div>
        <w:div w:id="1072846907">
          <w:marLeft w:val="0"/>
          <w:marRight w:val="0"/>
          <w:marTop w:val="0"/>
          <w:marBottom w:val="0"/>
          <w:divBdr>
            <w:top w:val="none" w:sz="0" w:space="0" w:color="auto"/>
            <w:left w:val="none" w:sz="0" w:space="0" w:color="auto"/>
            <w:bottom w:val="none" w:sz="0" w:space="0" w:color="auto"/>
            <w:right w:val="none" w:sz="0" w:space="0" w:color="auto"/>
          </w:divBdr>
        </w:div>
        <w:div w:id="1639452590">
          <w:marLeft w:val="0"/>
          <w:marRight w:val="0"/>
          <w:marTop w:val="0"/>
          <w:marBottom w:val="0"/>
          <w:divBdr>
            <w:top w:val="none" w:sz="0" w:space="0" w:color="auto"/>
            <w:left w:val="none" w:sz="0" w:space="0" w:color="auto"/>
            <w:bottom w:val="none" w:sz="0" w:space="0" w:color="auto"/>
            <w:right w:val="none" w:sz="0" w:space="0" w:color="auto"/>
          </w:divBdr>
        </w:div>
        <w:div w:id="134152252">
          <w:marLeft w:val="0"/>
          <w:marRight w:val="0"/>
          <w:marTop w:val="0"/>
          <w:marBottom w:val="0"/>
          <w:divBdr>
            <w:top w:val="none" w:sz="0" w:space="0" w:color="auto"/>
            <w:left w:val="none" w:sz="0" w:space="0" w:color="auto"/>
            <w:bottom w:val="none" w:sz="0" w:space="0" w:color="auto"/>
            <w:right w:val="none" w:sz="0" w:space="0" w:color="auto"/>
          </w:divBdr>
        </w:div>
        <w:div w:id="256796917">
          <w:marLeft w:val="0"/>
          <w:marRight w:val="0"/>
          <w:marTop w:val="0"/>
          <w:marBottom w:val="0"/>
          <w:divBdr>
            <w:top w:val="none" w:sz="0" w:space="0" w:color="auto"/>
            <w:left w:val="none" w:sz="0" w:space="0" w:color="auto"/>
            <w:bottom w:val="none" w:sz="0" w:space="0" w:color="auto"/>
            <w:right w:val="none" w:sz="0" w:space="0" w:color="auto"/>
          </w:divBdr>
        </w:div>
        <w:div w:id="471949685">
          <w:marLeft w:val="0"/>
          <w:marRight w:val="0"/>
          <w:marTop w:val="0"/>
          <w:marBottom w:val="0"/>
          <w:divBdr>
            <w:top w:val="none" w:sz="0" w:space="0" w:color="auto"/>
            <w:left w:val="none" w:sz="0" w:space="0" w:color="auto"/>
            <w:bottom w:val="none" w:sz="0" w:space="0" w:color="auto"/>
            <w:right w:val="none" w:sz="0" w:space="0" w:color="auto"/>
          </w:divBdr>
        </w:div>
        <w:div w:id="1666324937">
          <w:marLeft w:val="0"/>
          <w:marRight w:val="0"/>
          <w:marTop w:val="0"/>
          <w:marBottom w:val="0"/>
          <w:divBdr>
            <w:top w:val="none" w:sz="0" w:space="0" w:color="auto"/>
            <w:left w:val="none" w:sz="0" w:space="0" w:color="auto"/>
            <w:bottom w:val="none" w:sz="0" w:space="0" w:color="auto"/>
            <w:right w:val="none" w:sz="0" w:space="0" w:color="auto"/>
          </w:divBdr>
        </w:div>
        <w:div w:id="970205098">
          <w:marLeft w:val="0"/>
          <w:marRight w:val="0"/>
          <w:marTop w:val="0"/>
          <w:marBottom w:val="0"/>
          <w:divBdr>
            <w:top w:val="none" w:sz="0" w:space="0" w:color="auto"/>
            <w:left w:val="none" w:sz="0" w:space="0" w:color="auto"/>
            <w:bottom w:val="none" w:sz="0" w:space="0" w:color="auto"/>
            <w:right w:val="none" w:sz="0" w:space="0" w:color="auto"/>
          </w:divBdr>
        </w:div>
        <w:div w:id="1143624205">
          <w:marLeft w:val="0"/>
          <w:marRight w:val="0"/>
          <w:marTop w:val="0"/>
          <w:marBottom w:val="0"/>
          <w:divBdr>
            <w:top w:val="none" w:sz="0" w:space="0" w:color="auto"/>
            <w:left w:val="none" w:sz="0" w:space="0" w:color="auto"/>
            <w:bottom w:val="none" w:sz="0" w:space="0" w:color="auto"/>
            <w:right w:val="none" w:sz="0" w:space="0" w:color="auto"/>
          </w:divBdr>
        </w:div>
        <w:div w:id="1308589684">
          <w:marLeft w:val="0"/>
          <w:marRight w:val="0"/>
          <w:marTop w:val="0"/>
          <w:marBottom w:val="0"/>
          <w:divBdr>
            <w:top w:val="none" w:sz="0" w:space="0" w:color="auto"/>
            <w:left w:val="none" w:sz="0" w:space="0" w:color="auto"/>
            <w:bottom w:val="none" w:sz="0" w:space="0" w:color="auto"/>
            <w:right w:val="none" w:sz="0" w:space="0" w:color="auto"/>
          </w:divBdr>
        </w:div>
        <w:div w:id="1336495620">
          <w:marLeft w:val="0"/>
          <w:marRight w:val="0"/>
          <w:marTop w:val="0"/>
          <w:marBottom w:val="0"/>
          <w:divBdr>
            <w:top w:val="none" w:sz="0" w:space="0" w:color="auto"/>
            <w:left w:val="none" w:sz="0" w:space="0" w:color="auto"/>
            <w:bottom w:val="none" w:sz="0" w:space="0" w:color="auto"/>
            <w:right w:val="none" w:sz="0" w:space="0" w:color="auto"/>
          </w:divBdr>
        </w:div>
        <w:div w:id="83652491">
          <w:marLeft w:val="0"/>
          <w:marRight w:val="0"/>
          <w:marTop w:val="0"/>
          <w:marBottom w:val="0"/>
          <w:divBdr>
            <w:top w:val="none" w:sz="0" w:space="0" w:color="auto"/>
            <w:left w:val="none" w:sz="0" w:space="0" w:color="auto"/>
            <w:bottom w:val="none" w:sz="0" w:space="0" w:color="auto"/>
            <w:right w:val="none" w:sz="0" w:space="0" w:color="auto"/>
          </w:divBdr>
        </w:div>
        <w:div w:id="1288270815">
          <w:marLeft w:val="0"/>
          <w:marRight w:val="0"/>
          <w:marTop w:val="0"/>
          <w:marBottom w:val="0"/>
          <w:divBdr>
            <w:top w:val="none" w:sz="0" w:space="0" w:color="auto"/>
            <w:left w:val="none" w:sz="0" w:space="0" w:color="auto"/>
            <w:bottom w:val="none" w:sz="0" w:space="0" w:color="auto"/>
            <w:right w:val="none" w:sz="0" w:space="0" w:color="auto"/>
          </w:divBdr>
        </w:div>
        <w:div w:id="1494492951">
          <w:marLeft w:val="0"/>
          <w:marRight w:val="0"/>
          <w:marTop w:val="0"/>
          <w:marBottom w:val="0"/>
          <w:divBdr>
            <w:top w:val="none" w:sz="0" w:space="0" w:color="auto"/>
            <w:left w:val="none" w:sz="0" w:space="0" w:color="auto"/>
            <w:bottom w:val="none" w:sz="0" w:space="0" w:color="auto"/>
            <w:right w:val="none" w:sz="0" w:space="0" w:color="auto"/>
          </w:divBdr>
        </w:div>
        <w:div w:id="668025369">
          <w:marLeft w:val="0"/>
          <w:marRight w:val="0"/>
          <w:marTop w:val="0"/>
          <w:marBottom w:val="0"/>
          <w:divBdr>
            <w:top w:val="none" w:sz="0" w:space="0" w:color="auto"/>
            <w:left w:val="none" w:sz="0" w:space="0" w:color="auto"/>
            <w:bottom w:val="none" w:sz="0" w:space="0" w:color="auto"/>
            <w:right w:val="none" w:sz="0" w:space="0" w:color="auto"/>
          </w:divBdr>
        </w:div>
        <w:div w:id="1504738874">
          <w:marLeft w:val="0"/>
          <w:marRight w:val="0"/>
          <w:marTop w:val="0"/>
          <w:marBottom w:val="0"/>
          <w:divBdr>
            <w:top w:val="none" w:sz="0" w:space="0" w:color="auto"/>
            <w:left w:val="none" w:sz="0" w:space="0" w:color="auto"/>
            <w:bottom w:val="none" w:sz="0" w:space="0" w:color="auto"/>
            <w:right w:val="none" w:sz="0" w:space="0" w:color="auto"/>
          </w:divBdr>
        </w:div>
        <w:div w:id="331184261">
          <w:marLeft w:val="0"/>
          <w:marRight w:val="0"/>
          <w:marTop w:val="0"/>
          <w:marBottom w:val="0"/>
          <w:divBdr>
            <w:top w:val="none" w:sz="0" w:space="0" w:color="auto"/>
            <w:left w:val="none" w:sz="0" w:space="0" w:color="auto"/>
            <w:bottom w:val="none" w:sz="0" w:space="0" w:color="auto"/>
            <w:right w:val="none" w:sz="0" w:space="0" w:color="auto"/>
          </w:divBdr>
        </w:div>
        <w:div w:id="601840587">
          <w:marLeft w:val="0"/>
          <w:marRight w:val="0"/>
          <w:marTop w:val="0"/>
          <w:marBottom w:val="0"/>
          <w:divBdr>
            <w:top w:val="none" w:sz="0" w:space="0" w:color="auto"/>
            <w:left w:val="none" w:sz="0" w:space="0" w:color="auto"/>
            <w:bottom w:val="none" w:sz="0" w:space="0" w:color="auto"/>
            <w:right w:val="none" w:sz="0" w:space="0" w:color="auto"/>
          </w:divBdr>
        </w:div>
        <w:div w:id="361126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5iv.org/pdf/2103.09568" TargetMode="External"/><Relationship Id="rId13" Type="http://schemas.openxmlformats.org/officeDocument/2006/relationships/hyperlink" Target="https://www.darpa.mil/news/2022/algorithms-human-experts" TargetMode="External"/><Relationship Id="rId18" Type="http://schemas.openxmlformats.org/officeDocument/2006/relationships/hyperlink" Target="https://www.darpa.mil/news/2022/algorithms-human-experts" TargetMode="External"/><Relationship Id="rId26" Type="http://schemas.openxmlformats.org/officeDocument/2006/relationships/hyperlink" Target="https://time.com/6984292/cost-artificial-intelligence-compute-epoch-report/" TargetMode="External"/><Relationship Id="rId3" Type="http://schemas.openxmlformats.org/officeDocument/2006/relationships/webSettings" Target="webSettings.xml"/><Relationship Id="rId21" Type="http://schemas.openxmlformats.org/officeDocument/2006/relationships/hyperlink" Target="https://elifesciences.org/articles/91928" TargetMode="External"/><Relationship Id="rId7" Type="http://schemas.openxmlformats.org/officeDocument/2006/relationships/hyperlink" Target="https://link.springer.com/article/10.1007/s40747-020-00228-2" TargetMode="External"/><Relationship Id="rId12" Type="http://schemas.openxmlformats.org/officeDocument/2006/relationships/hyperlink" Target="https://www.darpa.mil/news/2022/algorithms-human-experts" TargetMode="External"/><Relationship Id="rId17" Type="http://schemas.openxmlformats.org/officeDocument/2006/relationships/hyperlink" Target="https://www.kitware.com/kitware-secures-11-5m-multi-year-darpa-contract-to-teach-ai-how-to-make-difficult-decisions-aligned-with-humans/" TargetMode="External"/><Relationship Id="rId25" Type="http://schemas.openxmlformats.org/officeDocument/2006/relationships/hyperlink" Target="https://gigster.com/blog/how-much-does-it-cost-to-develop-artificial-intelligence-applications/" TargetMode="External"/><Relationship Id="rId2" Type="http://schemas.openxmlformats.org/officeDocument/2006/relationships/settings" Target="settings.xml"/><Relationship Id="rId16" Type="http://schemas.openxmlformats.org/officeDocument/2006/relationships/hyperlink" Target="https://pmc.ncbi.nlm.nih.gov/articles/PMC2733162/" TargetMode="External"/><Relationship Id="rId20" Type="http://schemas.openxmlformats.org/officeDocument/2006/relationships/hyperlink" Target="https://elifesciences.org/articles/91928"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eople.ict.usc.edu/~pynadath/Papers/agi14.pdf" TargetMode="External"/><Relationship Id="rId11" Type="http://schemas.openxmlformats.org/officeDocument/2006/relationships/hyperlink" Target="https://www.darpa.mil/news/2022/algorithms-human-experts" TargetMode="External"/><Relationship Id="rId24" Type="http://schemas.openxmlformats.org/officeDocument/2006/relationships/hyperlink" Target="https://www.kitware.com/kitware-secures-11-5m-multi-year-darpa-contract-to-teach-ai-how-to-make-difficult-decisions-aligned-with-humans/" TargetMode="External"/><Relationship Id="rId5" Type="http://schemas.openxmlformats.org/officeDocument/2006/relationships/hyperlink" Target="https://pmc.ncbi.nlm.nih.gov/articles/PMC7751985/" TargetMode="External"/><Relationship Id="rId15" Type="http://schemas.openxmlformats.org/officeDocument/2006/relationships/hyperlink" Target="https://www.kitware.com/kitware-secures-11-5m-multi-year-darpa-contract-to-teach-ai-how-to-make-difficult-decisions-aligned-with-humans/" TargetMode="External"/><Relationship Id="rId23" Type="http://schemas.openxmlformats.org/officeDocument/2006/relationships/hyperlink" Target="https://www.future-processing.com/blog/ai-pricing-is-ai-expensive/" TargetMode="External"/><Relationship Id="rId28" Type="http://schemas.openxmlformats.org/officeDocument/2006/relationships/fontTable" Target="fontTable.xml"/><Relationship Id="rId10" Type="http://schemas.openxmlformats.org/officeDocument/2006/relationships/hyperlink" Target="https://www.darpa.mil/news/2022/algorithms-human-experts" TargetMode="External"/><Relationship Id="rId19" Type="http://schemas.openxmlformats.org/officeDocument/2006/relationships/hyperlink" Target="https://ar5iv.org/pdf/2103.09568" TargetMode="External"/><Relationship Id="rId4" Type="http://schemas.openxmlformats.org/officeDocument/2006/relationships/hyperlink" Target="https://pmc.ncbi.nlm.nih.gov/articles/PMC7751985/" TargetMode="External"/><Relationship Id="rId9" Type="http://schemas.openxmlformats.org/officeDocument/2006/relationships/hyperlink" Target="https://ar5iv.org/pdf/2103.09568" TargetMode="External"/><Relationship Id="rId14" Type="http://schemas.openxmlformats.org/officeDocument/2006/relationships/hyperlink" Target="https://www.darpa.mil/news/2022/algorithms-human-experts" TargetMode="External"/><Relationship Id="rId22" Type="http://schemas.openxmlformats.org/officeDocument/2006/relationships/hyperlink" Target="https://www.kitware.com/kitware-secures-11-5m-multi-year-darpa-contract-to-teach-ai-how-to-make-difficult-decisions-aligned-with-humans/" TargetMode="External"/><Relationship Id="rId27" Type="http://schemas.openxmlformats.org/officeDocument/2006/relationships/hyperlink" Target="https://time.com/6984292/cost-artificial-intelligence-compute-epoch-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5064</Words>
  <Characters>28865</Characters>
  <Application>Microsoft Office Word</Application>
  <DocSecurity>0</DocSecurity>
  <Lines>240</Lines>
  <Paragraphs>67</Paragraphs>
  <ScaleCrop>false</ScaleCrop>
  <Company/>
  <LinksUpToDate>false</LinksUpToDate>
  <CharactersWithSpaces>33862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2025-03-24T13:32:00Z</dcterms:created>
  <dcterms:modified xsi:type="dcterms:W3CDTF">2025-03-24T13:46:00Z</dcterms:modified>
</cp:coreProperties>
</file>