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BA4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w:t>
      </w:r>
    </w:p>
    <w:p w14:paraId="33228BB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A Local Cognitive Logic Engine for Triadic Reasoning and Narrative Generation</w:t>
      </w:r>
    </w:p>
    <w:p w14:paraId="4C7B47E1" w14:textId="77777777" w:rsidR="006C388C" w:rsidRPr="00060779" w:rsidRDefault="006C388C" w:rsidP="006C388C">
      <w:pPr>
        <w:rPr>
          <w:rFonts w:ascii="Times New Roman" w:hAnsi="Times New Roman" w:cs="Times New Roman"/>
        </w:rPr>
      </w:pPr>
    </w:p>
    <w:p w14:paraId="3081537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ABSTRACT (Cognitive Substrate Framing)</w:t>
      </w:r>
    </w:p>
    <w:p w14:paraId="6C6ABB3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is a modular cognitive scaffold that performs deterministic triadic reasoning prior to linguistic generation, functioning as a pre-symbolic logic orchestration substrate for artificial general intelligence (AGI) systems. It operates by converting unstructured external input into rank-weighted triadic logic primitives, which are recursively processed through a phase-aligned, multidimensional inference lattice. The engine applies structural cognition—not pattern prediction—to construct intentional, interpretable, and system-aligned prompt architectures for use by any downstream language model.</w:t>
      </w:r>
    </w:p>
    <w:p w14:paraId="559D0A6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At its core, the Trililiquary is built on a 3×3×7 cognitive lattice: three dynamic Prime Processing Phases (Input, Expansion, Nuance), each composed of three logic channels (Sub-Primes), each containing seven vertically ranked Factors. This forms a grid of 63 influence nodes, organized into seven parallel horizontal pipelines, with each layer yielding a distinct triadic logic unit. These 21 triads (7 per phase) represent the full logic signature of an input as it undergoes transformation from raw semantic potential into structured inference vectors.</w:t>
      </w:r>
    </w:p>
    <w:p w14:paraId="04A571D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Unlike conventional prompting interfaces that rely on stochastic temperature tuning or token sampling, the Trililiquary exposes the structural anatomy of cognition. It allows users—or autonomous agents—to directly shape inference topology by:</w:t>
      </w:r>
    </w:p>
    <w:p w14:paraId="5A0CAC6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Reconfiguring the roles of the three Prime Phases,</w:t>
      </w:r>
    </w:p>
    <w:p w14:paraId="333DE15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Assigning Sub-Primes tagged with cognitive metadata (e.g., archetype, bias, tone, epistemic stance),</w:t>
      </w:r>
    </w:p>
    <w:p w14:paraId="67FA100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Modulating intra-sub-prime Factor rankings to define priority and influence at each processing tier.</w:t>
      </w:r>
    </w:p>
    <w:p w14:paraId="7F46E04B"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Each Prime Phase represents a cognitive transformation layer:</w:t>
      </w:r>
    </w:p>
    <w:p w14:paraId="5D179D13"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The Input Prime Phase intuitively grows raw signal into dimensional structure (emotive scaffolding),</w:t>
      </w:r>
    </w:p>
    <w:p w14:paraId="6DF1B73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The Expansion Prime Phase manifests direction, scale, and generalization (structural emergence),</w:t>
      </w:r>
    </w:p>
    <w:p w14:paraId="6D0FC17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The Nuance Prime Phase imposes weighting, cohesion, and final synthesis (semantic convergence).</w:t>
      </w:r>
    </w:p>
    <w:p w14:paraId="107D69C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This pipeline conforms to a fractal logic architecture, where each triad is structurally identical and self-similar, enabling recursive refinement, scenario replay, or multi-pass introspective simulation. At each layer, triadic logic is formed agnostically to content identity—processing only structure and rank—yet remains fully context-aware due to user-defined metadata overlays.</w:t>
      </w:r>
    </w:p>
    <w:p w14:paraId="364F49F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Final output is compiled into a ranked, structured JSON object representing the full logic state of the inference. This object is then passed to a language model as a cognitively pre-synthesized scaffold, significantly reducing inference entropy, token overhead, and hallucination risk while increasing alignment, interpretability, and output quality.</w:t>
      </w:r>
    </w:p>
    <w:p w14:paraId="1AD5405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functions not as a prompt but as a cognitive prosthesis: a programmable mental organ for building structured thought prior to expression. It defines a new layer in the machine cognition stack—pre-linguistic structural reasoning—and enables a future where logic, not probability, governs artificial expression.</w:t>
      </w:r>
    </w:p>
    <w:p w14:paraId="0211A7D1" w14:textId="77777777" w:rsidR="006C388C" w:rsidRPr="00060779" w:rsidRDefault="006C388C" w:rsidP="006C388C">
      <w:pPr>
        <w:rPr>
          <w:rFonts w:ascii="Times New Roman" w:hAnsi="Times New Roman" w:cs="Times New Roman"/>
        </w:rPr>
      </w:pPr>
    </w:p>
    <w:p w14:paraId="7A5FB37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INVENTION SUMMARY</w:t>
      </w:r>
    </w:p>
    <w:p w14:paraId="44750BC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is a modular cognitive processing system designed to transform unstructured user input into structured logical scaffolds suitable for downstream synthesis by a language model. It operates by decomposing input into seven distinct logic units, processing each unit across a triadic, three-phase inference pipeline, and compiling the result into a deterministic output structure.</w:t>
      </w:r>
    </w:p>
    <w:p w14:paraId="5952254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system is built on a fixed 3×3×7 architecture composed of:</w:t>
      </w:r>
    </w:p>
    <w:p w14:paraId="3F6C763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Three configurable Prime Nodes, each assigned to one of three sequential Processing Phases: Input, Expansion, or Nuance.</w:t>
      </w:r>
    </w:p>
    <w:p w14:paraId="3F003E5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Three Sub-Prime Modules per Prime Node, each containing seven vertically ranked Factors representing cognitive influence or transformation logic.</w:t>
      </w:r>
    </w:p>
    <w:p w14:paraId="0764CDC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Input is parsed into seven segments aligned to rhetorical dimensions and routed through seven parallel processing layers. Each layer forms a triad per phase by aligning the rank-equivalent Factors from the three logic pillars within that phase. Across all phases, this generates 21 structured triads per run.</w:t>
      </w:r>
    </w:p>
    <w:p w14:paraId="4136FEEB"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Prime Nodes may be reassigned to any of the three Processing Phases, allowing user control over inference sequencing. Sub-Primes and their Factors remain hierarchically bound to their originating Prime Node, ensuring structural identity and semantic continuity regardless of phase assignment.</w:t>
      </w:r>
    </w:p>
    <w:p w14:paraId="75DE5CF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system compiles its results into a structured JSON object that represents the complete logic state of the inference cycle. This object is designed to be consumed by any compatible language model, enabling high-fidelity, low-entropy output generation with minimized inference cost.</w:t>
      </w:r>
    </w:p>
    <w:p w14:paraId="6EA1DA5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 xml:space="preserve">Optional extensions include metadata-based logic conditioning, 3D visualization support, domain-specific configuration via </w:t>
      </w:r>
      <w:proofErr w:type="spellStart"/>
      <w:r w:rsidRPr="00060779">
        <w:rPr>
          <w:rFonts w:ascii="Times New Roman" w:hAnsi="Times New Roman" w:cs="Times New Roman"/>
        </w:rPr>
        <w:t>Lorebooks</w:t>
      </w:r>
      <w:proofErr w:type="spellEnd"/>
      <w:r w:rsidRPr="00060779">
        <w:rPr>
          <w:rFonts w:ascii="Times New Roman" w:hAnsi="Times New Roman" w:cs="Times New Roman"/>
        </w:rPr>
        <w:t>, personality overlays via Sub-Prime annotation, and a slipstream gradient mechanism for non-linear logic jumps.</w:t>
      </w:r>
    </w:p>
    <w:p w14:paraId="5241BDE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serves as a cognitive substrate suitable for artificial general intelligence architectures. It formalizes pre-linguistic reasoning into deterministic, composable logic primitives and introduces a structural cognition layer between human-like thought decomposition and language expression. This enables explainable, architecturally transparent, and intention-aligned artificial inference across diverse domains.</w:t>
      </w:r>
    </w:p>
    <w:p w14:paraId="4E5A4CF5" w14:textId="77777777" w:rsidR="006C388C" w:rsidRPr="00060779" w:rsidRDefault="006C388C" w:rsidP="006C388C">
      <w:pPr>
        <w:rPr>
          <w:rFonts w:ascii="Times New Roman" w:hAnsi="Times New Roman" w:cs="Times New Roman"/>
        </w:rPr>
      </w:pPr>
    </w:p>
    <w:p w14:paraId="794733E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USER INTERFACE – AUDIT &amp; TRACEABILITY FRAMEWORK</w:t>
      </w:r>
    </w:p>
    <w:p w14:paraId="3B9E5FF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includes a native auditing feature integrated directly into the user interface (UI), allowing for comprehensive tracking, inspection, and analysis of each logic cycle through the engine. This enables full cognitive traceability across all stages of processing.</w:t>
      </w:r>
    </w:p>
    <w:p w14:paraId="1BA74EE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 Core Audit Interface Components</w:t>
      </w:r>
    </w:p>
    <w:p w14:paraId="7C89E7B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auditing interface includes the following UI modules:</w:t>
      </w:r>
    </w:p>
    <w:p w14:paraId="518BAA2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Original Input Capture Panel</w:t>
      </w:r>
    </w:p>
    <w:p w14:paraId="760C77DB"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Displays raw user input prior to decomposition, ensuring contextual transparency.</w:t>
      </w:r>
    </w:p>
    <w:p w14:paraId="575F01E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Rhetorical Arc Decomposition Panel</w:t>
      </w:r>
    </w:p>
    <w:p w14:paraId="72D8996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Displays the input as parsed across the seven rhetorical arcs (Essence, Form, Function, Frame, Intent, Relation, Value). Each arc is editable and can be manually overridden for precision control.</w:t>
      </w:r>
    </w:p>
    <w:p w14:paraId="7A824E9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Pipeline Stage Monitor</w:t>
      </w:r>
    </w:p>
    <w:p w14:paraId="740D39F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Displays the seven logic tiers as they evolve through triadic synthesis in each of the three phases. Allows real-time review of Factor contributions per pillar and per tier.</w:t>
      </w:r>
    </w:p>
    <w:p w14:paraId="3A74929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Structured Triad Inspection</w:t>
      </w:r>
    </w:p>
    <w:p w14:paraId="2529769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Shows the final 21 triads generated during processing. Triads are linked to both their Sub-Prime origin and their ranked layer for full lineage traceability.</w:t>
      </w:r>
    </w:p>
    <w:p w14:paraId="42B650D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Output Reconstruction Viewer</w:t>
      </w:r>
    </w:p>
    <w:p w14:paraId="67495DB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Displays the final logic structure and its synthesized natural language result side-by-side, mapped tier-by-tier.</w:t>
      </w:r>
    </w:p>
    <w:p w14:paraId="7727ED2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II. Integrated Controls and Features</w:t>
      </w:r>
    </w:p>
    <w:p w14:paraId="51C12BC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w:t>
      </w:r>
      <w:r w:rsidRPr="00060779">
        <w:rPr>
          <w:rFonts w:ascii="Times New Roman" w:hAnsi="Times New Roman" w:cs="Times New Roman"/>
        </w:rPr>
        <w:tab/>
        <w:t>Audit Load / Save Functions</w:t>
      </w:r>
    </w:p>
    <w:p w14:paraId="7AB9905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Users can save audit sessions for reanalysis, reuse, or peer review. Full inference histories can be exported for comparison or compliance.</w:t>
      </w:r>
    </w:p>
    <w:p w14:paraId="3BE4318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 xml:space="preserve">Test &amp; Debug Actions (as found in </w:t>
      </w:r>
      <w:proofErr w:type="spellStart"/>
      <w:r w:rsidRPr="00060779">
        <w:rPr>
          <w:rFonts w:ascii="Times New Roman" w:hAnsi="Times New Roman" w:cs="Times New Roman"/>
        </w:rPr>
        <w:t>menuResults</w:t>
      </w:r>
      <w:proofErr w:type="spellEnd"/>
      <w:r w:rsidRPr="00060779">
        <w:rPr>
          <w:rFonts w:ascii="Times New Roman" w:hAnsi="Times New Roman" w:cs="Times New Roman"/>
        </w:rPr>
        <w:t xml:space="preserve"> → Run Tests)</w:t>
      </w:r>
    </w:p>
    <w:p w14:paraId="3C4CD7B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Includes logic diagnostics like:</w:t>
      </w:r>
    </w:p>
    <w:p w14:paraId="6AFB7E5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Intake Manifold Test</w:t>
      </w:r>
    </w:p>
    <w:p w14:paraId="4D2B803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Injection Sequencer Test</w:t>
      </w:r>
    </w:p>
    <w:p w14:paraId="18E1998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Triadic Pairing Isolation</w:t>
      </w:r>
    </w:p>
    <w:p w14:paraId="21CB1BE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Phase Stepping</w:t>
      </w:r>
    </w:p>
    <w:p w14:paraId="07F9E9D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Pillar Ranking Verification</w:t>
      </w:r>
    </w:p>
    <w:p w14:paraId="198CF28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Output Coherence Testing</w:t>
      </w:r>
    </w:p>
    <w:p w14:paraId="4F406CC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Versioned Audit Log</w:t>
      </w:r>
    </w:p>
    <w:p w14:paraId="7599B1F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Each inference run </w:t>
      </w:r>
      <w:proofErr w:type="gramStart"/>
      <w:r w:rsidRPr="00060779">
        <w:rPr>
          <w:rFonts w:ascii="Times New Roman" w:hAnsi="Times New Roman" w:cs="Times New Roman"/>
        </w:rPr>
        <w:t xml:space="preserve">is </w:t>
      </w:r>
      <w:proofErr w:type="gramEnd"/>
      <w:r w:rsidRPr="00060779">
        <w:rPr>
          <w:rFonts w:ascii="Times New Roman" w:hAnsi="Times New Roman" w:cs="Times New Roman"/>
        </w:rPr>
        <w:t>timestamped and version-tagged, allowing rollback, comparison, and provenance certification.</w:t>
      </w:r>
    </w:p>
    <w:p w14:paraId="368DDAB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III. LLM Interaction Logging</w:t>
      </w:r>
    </w:p>
    <w:p w14:paraId="7B0BB18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auditing system also logs the structured prompt (JSON) injected into the LLM, as well as the response, preserving:</w:t>
      </w:r>
    </w:p>
    <w:p w14:paraId="0AA6AA9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LLM input/output deltas</w:t>
      </w:r>
    </w:p>
    <w:p w14:paraId="36EA2F6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Triad-to-sentence traceability</w:t>
      </w:r>
    </w:p>
    <w:p w14:paraId="51295B2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Token usage snapshots (future implementation)</w:t>
      </w:r>
    </w:p>
    <w:p w14:paraId="3A9A039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This supports:</w:t>
      </w:r>
    </w:p>
    <w:p w14:paraId="4188825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Regulatory compliance (e.g., medical, legal)</w:t>
      </w:r>
    </w:p>
    <w:p w14:paraId="2CFCE5D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Model evaluation</w:t>
      </w:r>
    </w:p>
    <w:p w14:paraId="7D0A900B"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Transparent inference auditing for explainability in enterprise or public-facing use</w:t>
      </w:r>
    </w:p>
    <w:p w14:paraId="03E5687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IV. Future Expansion</w:t>
      </w:r>
    </w:p>
    <w:p w14:paraId="12E4DAD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The audit system is </w:t>
      </w:r>
      <w:proofErr w:type="gramStart"/>
      <w:r w:rsidRPr="00060779">
        <w:rPr>
          <w:rFonts w:ascii="Times New Roman" w:hAnsi="Times New Roman" w:cs="Times New Roman"/>
        </w:rPr>
        <w:t>architected</w:t>
      </w:r>
      <w:proofErr w:type="gramEnd"/>
      <w:r w:rsidRPr="00060779">
        <w:rPr>
          <w:rFonts w:ascii="Times New Roman" w:hAnsi="Times New Roman" w:cs="Times New Roman"/>
        </w:rPr>
        <w:t xml:space="preserve"> to support:</w:t>
      </w:r>
    </w:p>
    <w:p w14:paraId="70AC6CD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Visual overlays of logic flow through each phase</w:t>
      </w:r>
    </w:p>
    <w:p w14:paraId="21D8E5F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Comparative audit reports across runs</w:t>
      </w:r>
    </w:p>
    <w:p w14:paraId="18FB683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w:t>
      </w:r>
      <w:r w:rsidRPr="00060779">
        <w:rPr>
          <w:rFonts w:ascii="Times New Roman" w:hAnsi="Times New Roman" w:cs="Times New Roman"/>
        </w:rPr>
        <w:tab/>
        <w:t>Diffing of Sub-Prime configuration impact</w:t>
      </w:r>
    </w:p>
    <w:p w14:paraId="7FD8AE0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Export of audit files as PDF or structured XML for external systems</w:t>
      </w:r>
    </w:p>
    <w:p w14:paraId="3EE424C9" w14:textId="77777777" w:rsidR="006C388C" w:rsidRPr="00060779" w:rsidRDefault="006C388C" w:rsidP="006C388C">
      <w:pPr>
        <w:rPr>
          <w:rFonts w:ascii="Times New Roman" w:hAnsi="Times New Roman" w:cs="Times New Roman"/>
        </w:rPr>
      </w:pPr>
    </w:p>
    <w:p w14:paraId="51640E59" w14:textId="033E3670"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KEY FUNCTIONAL HIGHLIGHTS</w:t>
      </w:r>
    </w:p>
    <w:p w14:paraId="0687470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1.</w:t>
      </w:r>
      <w:r w:rsidRPr="00060779">
        <w:rPr>
          <w:rFonts w:ascii="Times New Roman" w:hAnsi="Times New Roman" w:cs="Times New Roman"/>
        </w:rPr>
        <w:tab/>
        <w:t>Structured Triadic Reasoning Engine</w:t>
      </w:r>
    </w:p>
    <w:p w14:paraId="0EBB763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Core 3×3×7 architecture forms deterministic pipelines of logical triads across three Prime Phases (Input, Expansion, Nuance), ensuring traceable inference with clear cognitive hierarchy.</w:t>
      </w:r>
    </w:p>
    <w:p w14:paraId="48B3AE3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2.</w:t>
      </w:r>
      <w:r w:rsidRPr="00060779">
        <w:rPr>
          <w:rFonts w:ascii="Times New Roman" w:hAnsi="Times New Roman" w:cs="Times New Roman"/>
        </w:rPr>
        <w:tab/>
        <w:t>Seven-Layer Parallel Logic Processing</w:t>
      </w:r>
    </w:p>
    <w:p w14:paraId="302F6CB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Input is decomposed into seven rhetorical units and routed through parallel pipelines, each traversing three triadic transformations—yielding high-fidelity inference at reduced entropy.</w:t>
      </w:r>
    </w:p>
    <w:p w14:paraId="26698DA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3.</w:t>
      </w:r>
      <w:r w:rsidRPr="00060779">
        <w:rPr>
          <w:rFonts w:ascii="Times New Roman" w:hAnsi="Times New Roman" w:cs="Times New Roman"/>
        </w:rPr>
        <w:tab/>
        <w:t>Prime-Level Phase Modularity</w:t>
      </w:r>
    </w:p>
    <w:p w14:paraId="3A6D1BB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r>
      <w:proofErr w:type="gramStart"/>
      <w:r w:rsidRPr="00060779">
        <w:rPr>
          <w:rFonts w:ascii="Times New Roman" w:hAnsi="Times New Roman" w:cs="Times New Roman"/>
        </w:rPr>
        <w:t>The</w:t>
      </w:r>
      <w:proofErr w:type="gramEnd"/>
      <w:r w:rsidRPr="00060779">
        <w:rPr>
          <w:rFonts w:ascii="Times New Roman" w:hAnsi="Times New Roman" w:cs="Times New Roman"/>
        </w:rPr>
        <w:t xml:space="preserve"> three Prime modules are phase-reconfigurable, allowing system personality, function, or specialization to be dynamically altered without changing internal structure.</w:t>
      </w:r>
    </w:p>
    <w:p w14:paraId="06CCE43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4.</w:t>
      </w:r>
      <w:r w:rsidRPr="00060779">
        <w:rPr>
          <w:rFonts w:ascii="Times New Roman" w:hAnsi="Times New Roman" w:cs="Times New Roman"/>
        </w:rPr>
        <w:tab/>
        <w:t>Sub-Prime Identity Integrity and Role Flexibility</w:t>
      </w:r>
    </w:p>
    <w:p w14:paraId="7D5CF12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Each Prime’s three Sub-Primes and their Factors retain identity across configurations, while being flexibly assigned to Input, Expansion, or Nuance pillars—preserving semantic continuity across runs.</w:t>
      </w:r>
    </w:p>
    <w:p w14:paraId="719CE5D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5.</w:t>
      </w:r>
      <w:r w:rsidRPr="00060779">
        <w:rPr>
          <w:rFonts w:ascii="Times New Roman" w:hAnsi="Times New Roman" w:cs="Times New Roman"/>
        </w:rPr>
        <w:tab/>
        <w:t>Metadata-Driven Cognitive Shaping</w:t>
      </w:r>
    </w:p>
    <w:p w14:paraId="2B2B818B"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Sub-Primes and Prime nodes can be tagged with metadata to define perspective, bias, tone, personality archetypes, or phase intent—enabling interpretable emotional, strategic, or epistemic shaping.</w:t>
      </w:r>
    </w:p>
    <w:p w14:paraId="3F1569C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6.</w:t>
      </w:r>
      <w:r w:rsidRPr="00060779">
        <w:rPr>
          <w:rFonts w:ascii="Times New Roman" w:hAnsi="Times New Roman" w:cs="Times New Roman"/>
        </w:rPr>
        <w:tab/>
        <w:t>Pre-Synthesis Structuring over Stochastic Filtering</w:t>
      </w:r>
    </w:p>
    <w:p w14:paraId="33876DD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Replaces conventional temperature, top-p, and frequency filters with a deterministic, user-tunable cognitive logic layer—enhancing alignment, control, and coherence.</w:t>
      </w:r>
    </w:p>
    <w:p w14:paraId="6D8E226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7.</w:t>
      </w:r>
      <w:r w:rsidRPr="00060779">
        <w:rPr>
          <w:rFonts w:ascii="Times New Roman" w:hAnsi="Times New Roman" w:cs="Times New Roman"/>
        </w:rPr>
        <w:tab/>
        <w:t>Fractal Logic Composition</w:t>
      </w:r>
    </w:p>
    <w:p w14:paraId="00C9C97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Triads are self-similar, structurally invariant logic units—enabling recursion, replay, chain expansion, or adaptive loop-back without loss of semantic integrity.</w:t>
      </w:r>
    </w:p>
    <w:p w14:paraId="5841C49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8.</w:t>
      </w:r>
      <w:r w:rsidRPr="00060779">
        <w:rPr>
          <w:rFonts w:ascii="Times New Roman" w:hAnsi="Times New Roman" w:cs="Times New Roman"/>
        </w:rPr>
        <w:tab/>
        <w:t>Standardized Output Format (JSON)</w:t>
      </w:r>
    </w:p>
    <w:p w14:paraId="6E20058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Triads are compiled into a structured, ranked logic object for direct injection into any LLM, enabling universal model compatibility and low-token cognitive compression.</w:t>
      </w:r>
    </w:p>
    <w:p w14:paraId="5D8149E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9.</w:t>
      </w:r>
      <w:r w:rsidRPr="00060779">
        <w:rPr>
          <w:rFonts w:ascii="Times New Roman" w:hAnsi="Times New Roman" w:cs="Times New Roman"/>
        </w:rPr>
        <w:tab/>
        <w:t>3D Visualization Compatibility</w:t>
      </w:r>
    </w:p>
    <w:p w14:paraId="43FD544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r>
      <w:proofErr w:type="gramStart"/>
      <w:r w:rsidRPr="00060779">
        <w:rPr>
          <w:rFonts w:ascii="Times New Roman" w:hAnsi="Times New Roman" w:cs="Times New Roman"/>
        </w:rPr>
        <w:t>The</w:t>
      </w:r>
      <w:proofErr w:type="gramEnd"/>
      <w:r w:rsidRPr="00060779">
        <w:rPr>
          <w:rFonts w:ascii="Times New Roman" w:hAnsi="Times New Roman" w:cs="Times New Roman"/>
        </w:rPr>
        <w:t xml:space="preserve"> engine is spatially modeled as a cognitive lattice with pipeline depth (Left View), hierarchical structure (Top View), and semantic logic flow (Front View)—allowing real-time visualization and manipulation.</w:t>
      </w:r>
    </w:p>
    <w:p w14:paraId="6896D91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10.</w:t>
      </w:r>
      <w:r w:rsidRPr="00060779">
        <w:rPr>
          <w:rFonts w:ascii="Times New Roman" w:hAnsi="Times New Roman" w:cs="Times New Roman"/>
        </w:rPr>
        <w:tab/>
        <w:t xml:space="preserve">Extensible Design via </w:t>
      </w:r>
      <w:proofErr w:type="spellStart"/>
      <w:r w:rsidRPr="00060779">
        <w:rPr>
          <w:rFonts w:ascii="Times New Roman" w:hAnsi="Times New Roman" w:cs="Times New Roman"/>
        </w:rPr>
        <w:t>Lorebooks</w:t>
      </w:r>
      <w:proofErr w:type="spellEnd"/>
      <w:r w:rsidRPr="00060779">
        <w:rPr>
          <w:rFonts w:ascii="Times New Roman" w:hAnsi="Times New Roman" w:cs="Times New Roman"/>
        </w:rPr>
        <w:t xml:space="preserve"> and Plug-In Modules</w:t>
      </w:r>
    </w:p>
    <w:p w14:paraId="7E135B7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 xml:space="preserve">Supports domain-specific overlays, narrative environments, behavior profiles, and multi-agent orchestration through modular </w:t>
      </w:r>
      <w:proofErr w:type="spellStart"/>
      <w:r w:rsidRPr="00060779">
        <w:rPr>
          <w:rFonts w:ascii="Times New Roman" w:hAnsi="Times New Roman" w:cs="Times New Roman"/>
        </w:rPr>
        <w:t>Lorebooks</w:t>
      </w:r>
      <w:proofErr w:type="spellEnd"/>
      <w:r w:rsidRPr="00060779">
        <w:rPr>
          <w:rFonts w:ascii="Times New Roman" w:hAnsi="Times New Roman" w:cs="Times New Roman"/>
        </w:rPr>
        <w:t xml:space="preserve"> and plug-in extensions.</w:t>
      </w:r>
    </w:p>
    <w:p w14:paraId="52A75611" w14:textId="77777777" w:rsidR="006C388C" w:rsidRPr="00060779" w:rsidRDefault="006C388C" w:rsidP="006C388C">
      <w:pPr>
        <w:rPr>
          <w:rFonts w:ascii="Times New Roman" w:hAnsi="Times New Roman" w:cs="Times New Roman"/>
        </w:rPr>
      </w:pPr>
    </w:p>
    <w:p w14:paraId="789DAF53"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TECHNOLOGY STACK</w:t>
      </w:r>
    </w:p>
    <w:p w14:paraId="545C0B9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is designed as a modular, software-implemented logic engine suitable for local execution, cloud-hosted middleware deployment, or integration as a subsystem within larger AI architectures. The current implementation stack includes:</w:t>
      </w:r>
    </w:p>
    <w:p w14:paraId="2AB6BE2B"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1. Programming Language &amp; Core Logic</w:t>
      </w:r>
    </w:p>
    <w:p w14:paraId="3FAA4493"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Python</w:t>
      </w:r>
    </w:p>
    <w:p w14:paraId="021583C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Primary development language for the logic engine, data orchestration, pipeline sequencing, and output formatting.</w:t>
      </w:r>
    </w:p>
    <w:p w14:paraId="0E6D7B5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Modular Class Architecture</w:t>
      </w:r>
    </w:p>
    <w:p w14:paraId="1921200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Implements componentized representations of Primes, Sub-Primes, Factors, triadic pipeline layers, and structured JSON synthesis routines.</w:t>
      </w:r>
    </w:p>
    <w:p w14:paraId="14CD8BA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2. User Interface Framework</w:t>
      </w:r>
    </w:p>
    <w:p w14:paraId="2C72BEA3"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PyQt6 (Qt for Python)</w:t>
      </w:r>
    </w:p>
    <w:p w14:paraId="4908459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Used for building the GUI (referred to as the </w:t>
      </w:r>
      <w:proofErr w:type="spellStart"/>
      <w:r w:rsidRPr="00060779">
        <w:rPr>
          <w:rFonts w:ascii="Times New Roman" w:hAnsi="Times New Roman" w:cs="Times New Roman"/>
        </w:rPr>
        <w:t>Trililiquarium</w:t>
      </w:r>
      <w:proofErr w:type="spellEnd"/>
      <w:r w:rsidRPr="00060779">
        <w:rPr>
          <w:rFonts w:ascii="Times New Roman" w:hAnsi="Times New Roman" w:cs="Times New Roman"/>
        </w:rPr>
        <w:t>), which provides interactive manipulation of logic architecture, drag-and-drop Sub-Prime assignment, Factor ranking, and real-time visualization of pipeline configurations.</w:t>
      </w:r>
    </w:p>
    <w:p w14:paraId="5D6170B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Qt Designer / Qt Design Studio</w:t>
      </w:r>
    </w:p>
    <w:p w14:paraId="7E2D05C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Utilized for interface layout prototyping and integration with the Python logic backend.</w:t>
      </w:r>
    </w:p>
    <w:p w14:paraId="7907B83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3. Visualization (3D &amp; Structural)</w:t>
      </w:r>
    </w:p>
    <w:p w14:paraId="38337053"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Three.js (Planned Integration)</w:t>
      </w:r>
    </w:p>
    <w:p w14:paraId="2868DF5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Provides optional 3D visualization of the triadic lattice structure, cognitive pipeline flow, and real-time user interaction with Prime/Sub-Prime/Factor geometry via WebGL.</w:t>
      </w:r>
    </w:p>
    <w:p w14:paraId="5A4C04F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w:t>
      </w:r>
      <w:r w:rsidRPr="00060779">
        <w:rPr>
          <w:rFonts w:ascii="Times New Roman" w:hAnsi="Times New Roman" w:cs="Times New Roman"/>
        </w:rPr>
        <w:tab/>
        <w:t>SVG / Canvas Rendering (Initial Deployment)</w:t>
      </w:r>
    </w:p>
    <w:p w14:paraId="31681A3B"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Used for 2D system diagrams and real-time display of the triadic hierarchy in flat viewports.</w:t>
      </w:r>
    </w:p>
    <w:p w14:paraId="31B219B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4. LLM Integration Layer</w:t>
      </w:r>
    </w:p>
    <w:p w14:paraId="1890E27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JSON Prompt Injection Layer</w:t>
      </w:r>
    </w:p>
    <w:p w14:paraId="094CB21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Converts structured logic outputs into format-compatible prompts for large language models.</w:t>
      </w:r>
    </w:p>
    <w:p w14:paraId="5E5810E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LLM Agnosticism</w:t>
      </w:r>
    </w:p>
    <w:p w14:paraId="738DB99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Compatible with both API-based (e.g., OpenAI GPT-4, Claude) and local inference models (e.g., Mistral, GPT4All, LM Studio, llama.cpp).</w:t>
      </w:r>
    </w:p>
    <w:p w14:paraId="1F150AB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Future Middleware Mode</w:t>
      </w:r>
    </w:p>
    <w:p w14:paraId="74BBB8CE" w14:textId="60ADA1D5" w:rsidR="00060779" w:rsidRPr="00060779" w:rsidRDefault="006C388C" w:rsidP="006C388C">
      <w:pPr>
        <w:rPr>
          <w:rFonts w:ascii="Times New Roman" w:hAnsi="Times New Roman" w:cs="Times New Roman"/>
        </w:rPr>
      </w:pPr>
      <w:r w:rsidRPr="00060779">
        <w:rPr>
          <w:rFonts w:ascii="Times New Roman" w:hAnsi="Times New Roman" w:cs="Times New Roman"/>
        </w:rPr>
        <w:t>Designed for evolution into a self-hosted or enterprise middleware service that intercepts, processes, and re-injects prompts through standardized endpoints.</w:t>
      </w:r>
    </w:p>
    <w:p w14:paraId="1A6F457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5. Data Configuration &amp; </w:t>
      </w:r>
      <w:proofErr w:type="spellStart"/>
      <w:r w:rsidRPr="00060779">
        <w:rPr>
          <w:rFonts w:ascii="Times New Roman" w:hAnsi="Times New Roman" w:cs="Times New Roman"/>
        </w:rPr>
        <w:t>Extendability</w:t>
      </w:r>
      <w:proofErr w:type="spellEnd"/>
    </w:p>
    <w:p w14:paraId="39C92AB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r>
      <w:proofErr w:type="spellStart"/>
      <w:r w:rsidRPr="00060779">
        <w:rPr>
          <w:rFonts w:ascii="Times New Roman" w:hAnsi="Times New Roman" w:cs="Times New Roman"/>
        </w:rPr>
        <w:t>Lorebook</w:t>
      </w:r>
      <w:proofErr w:type="spellEnd"/>
      <w:r w:rsidRPr="00060779">
        <w:rPr>
          <w:rFonts w:ascii="Times New Roman" w:hAnsi="Times New Roman" w:cs="Times New Roman"/>
        </w:rPr>
        <w:t xml:space="preserve"> Files</w:t>
      </w:r>
    </w:p>
    <w:p w14:paraId="7577AC2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Structured configuration schemas (YAML or JSON-based) that define domain-specific Sub-Prime/Figure mappings, personality overlays, metadata constraints, and scenario control logic.</w:t>
      </w:r>
    </w:p>
    <w:p w14:paraId="0B153F6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Plug-In Modules</w:t>
      </w:r>
    </w:p>
    <w:p w14:paraId="492EDC7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Designed to allow optional extensions such as Slipstream Gradient Processing, dynamic persona modules, environmental overlays, or multi-agent orchestration interfaces.</w:t>
      </w:r>
    </w:p>
    <w:p w14:paraId="57ECE58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6. Deployment Models</w:t>
      </w:r>
    </w:p>
    <w:p w14:paraId="362E85C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Offline-First Desktop App</w:t>
      </w:r>
    </w:p>
    <w:p w14:paraId="31CFB27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Local Python/Qt6-based GUI with logic engine bundled for full offline reasoning.</w:t>
      </w:r>
    </w:p>
    <w:p w14:paraId="07FE1A0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Web-Hosted Platform (Planned)</w:t>
      </w:r>
    </w:p>
    <w:p w14:paraId="3A3A65F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Server-based Trililiquary logic processor with a client-facing UI served via web browser, supporting team workflows and modular model routing.</w:t>
      </w:r>
    </w:p>
    <w:p w14:paraId="6D66E7F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Embedded Component</w:t>
      </w:r>
    </w:p>
    <w:p w14:paraId="1FDD8E6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Future miniaturized implementation to act as an LLM-facing plugin or cognitive kernel inside more complex AI systems or game engines.</w:t>
      </w:r>
    </w:p>
    <w:p w14:paraId="11ADBF25" w14:textId="77777777" w:rsidR="006C388C" w:rsidRPr="00060779" w:rsidRDefault="006C388C" w:rsidP="006C388C">
      <w:pPr>
        <w:rPr>
          <w:rFonts w:ascii="Times New Roman" w:hAnsi="Times New Roman" w:cs="Times New Roman"/>
        </w:rPr>
      </w:pPr>
    </w:p>
    <w:p w14:paraId="518AB639" w14:textId="77777777" w:rsidR="006C388C" w:rsidRPr="00060779" w:rsidRDefault="006C388C" w:rsidP="006C388C">
      <w:pPr>
        <w:rPr>
          <w:rFonts w:ascii="Times New Roman" w:hAnsi="Times New Roman" w:cs="Times New Roman"/>
        </w:rPr>
      </w:pPr>
    </w:p>
    <w:p w14:paraId="517D82F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CORE FUNCTIONAL ELEMENTS CLAIMED (Illustrative Summary)</w:t>
      </w:r>
    </w:p>
    <w:p w14:paraId="571745C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1.</w:t>
      </w:r>
      <w:r w:rsidRPr="00060779">
        <w:rPr>
          <w:rFonts w:ascii="Times New Roman" w:hAnsi="Times New Roman" w:cs="Times New Roman"/>
        </w:rPr>
        <w:tab/>
        <w:t>A modular logic engine comprising a 3×3×7 inference architecture configured to process input through ranked triadic coupling across three sequential cognitive phases.</w:t>
      </w:r>
    </w:p>
    <w:p w14:paraId="32DBE42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2.</w:t>
      </w:r>
      <w:r w:rsidRPr="00060779">
        <w:rPr>
          <w:rFonts w:ascii="Times New Roman" w:hAnsi="Times New Roman" w:cs="Times New Roman"/>
        </w:rPr>
        <w:tab/>
        <w:t>A configurable Prime Node assignment system, wherein each Prime may be reassigned to any of the Input, Expansion, or Nuance phases.</w:t>
      </w:r>
    </w:p>
    <w:p w14:paraId="38CC098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3.</w:t>
      </w:r>
      <w:r w:rsidRPr="00060779">
        <w:rPr>
          <w:rFonts w:ascii="Times New Roman" w:hAnsi="Times New Roman" w:cs="Times New Roman"/>
        </w:rPr>
        <w:tab/>
        <w:t>A Sub-Prime identity locking mechanism, binding each Sub-Prime to its originating Prime regardless of phase reassignment.</w:t>
      </w:r>
    </w:p>
    <w:p w14:paraId="0697433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4.</w:t>
      </w:r>
      <w:r w:rsidRPr="00060779">
        <w:rPr>
          <w:rFonts w:ascii="Times New Roman" w:hAnsi="Times New Roman" w:cs="Times New Roman"/>
        </w:rPr>
        <w:tab/>
        <w:t>A pipeline comprising seven logic layers, each forming a triadic unit from rank-aligned Factors across three distinct logic pillars.</w:t>
      </w:r>
    </w:p>
    <w:p w14:paraId="73FA320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5.</w:t>
      </w:r>
      <w:r w:rsidRPr="00060779">
        <w:rPr>
          <w:rFonts w:ascii="Times New Roman" w:hAnsi="Times New Roman" w:cs="Times New Roman"/>
        </w:rPr>
        <w:tab/>
        <w:t>A pre-synthesis metadata conditioning system for assigning cognitive archetypes, tonal biases, or epistemic stances to Sub-Primes or Primes to influence downstream synthesis.</w:t>
      </w:r>
    </w:p>
    <w:p w14:paraId="605F08D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6.</w:t>
      </w:r>
      <w:r w:rsidRPr="00060779">
        <w:rPr>
          <w:rFonts w:ascii="Times New Roman" w:hAnsi="Times New Roman" w:cs="Times New Roman"/>
        </w:rPr>
        <w:tab/>
        <w:t>A fractal triadic processing model, wherein each logic unit is structurally identical and recursively applicable for layered inference, simulation chaining, or multi-agent orchestration.</w:t>
      </w:r>
    </w:p>
    <w:p w14:paraId="38E3248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7.</w:t>
      </w:r>
      <w:r w:rsidRPr="00060779">
        <w:rPr>
          <w:rFonts w:ascii="Times New Roman" w:hAnsi="Times New Roman" w:cs="Times New Roman"/>
        </w:rPr>
        <w:tab/>
        <w:t>A structured JSON output generator that encodes ranked triadic logic units into a standardized format for use with any compatible language model.</w:t>
      </w:r>
    </w:p>
    <w:p w14:paraId="7CFC412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8.</w:t>
      </w:r>
      <w:r w:rsidRPr="00060779">
        <w:rPr>
          <w:rFonts w:ascii="Times New Roman" w:hAnsi="Times New Roman" w:cs="Times New Roman"/>
        </w:rPr>
        <w:tab/>
        <w:t>A GUI-based interface enabling real-time manipulation of phase roles, Sub-Prime assignments, Factor rankings, and audit traceability.</w:t>
      </w:r>
    </w:p>
    <w:p w14:paraId="745B67C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9.</w:t>
      </w:r>
      <w:r w:rsidRPr="00060779">
        <w:rPr>
          <w:rFonts w:ascii="Times New Roman" w:hAnsi="Times New Roman" w:cs="Times New Roman"/>
        </w:rPr>
        <w:tab/>
        <w:t>An audit logging system capturing full inference state, triad lineage, LLM input/output, and configuration metadata per run.</w:t>
      </w:r>
    </w:p>
    <w:p w14:paraId="71A9209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10.</w:t>
      </w:r>
      <w:r w:rsidRPr="00060779">
        <w:rPr>
          <w:rFonts w:ascii="Times New Roman" w:hAnsi="Times New Roman" w:cs="Times New Roman"/>
        </w:rPr>
        <w:tab/>
        <w:t xml:space="preserve">Optional extensions including 3D visualization, slipstream logic migration, persona overlays, </w:t>
      </w:r>
      <w:proofErr w:type="spellStart"/>
      <w:r w:rsidRPr="00060779">
        <w:rPr>
          <w:rFonts w:ascii="Times New Roman" w:hAnsi="Times New Roman" w:cs="Times New Roman"/>
        </w:rPr>
        <w:t>Lorebook</w:t>
      </w:r>
      <w:proofErr w:type="spellEnd"/>
      <w:r w:rsidRPr="00060779">
        <w:rPr>
          <w:rFonts w:ascii="Times New Roman" w:hAnsi="Times New Roman" w:cs="Times New Roman"/>
        </w:rPr>
        <w:t xml:space="preserve"> schema injection, and multi-agent orchestration.</w:t>
      </w:r>
    </w:p>
    <w:p w14:paraId="005374CF" w14:textId="77777777" w:rsidR="006C388C" w:rsidRPr="00060779" w:rsidRDefault="006C388C" w:rsidP="006C388C">
      <w:pPr>
        <w:rPr>
          <w:rFonts w:ascii="Times New Roman" w:hAnsi="Times New Roman" w:cs="Times New Roman"/>
        </w:rPr>
      </w:pPr>
    </w:p>
    <w:p w14:paraId="1CB4CEB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ADVANCED USE CASES &amp; EXTENSIONS</w:t>
      </w:r>
    </w:p>
    <w:p w14:paraId="5F6C0293"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architecture supports advanced extensions beyond single-instance operation, including:</w:t>
      </w:r>
    </w:p>
    <w:p w14:paraId="4DABA86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Recursive Logic Replay: Engine outputs may be re-ingested as new inputs, allowing for multi-pass inference refinement, scenario iteration, or recursive narrative construction.</w:t>
      </w:r>
    </w:p>
    <w:p w14:paraId="4D69546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 xml:space="preserve">Multi-Agent Cognitive Architecture: Multiple Trililiquary instances may operate in parallel, each driven by distinct Sub-Prime personality overlays or domain-specific </w:t>
      </w:r>
      <w:proofErr w:type="spellStart"/>
      <w:r w:rsidRPr="00060779">
        <w:rPr>
          <w:rFonts w:ascii="Times New Roman" w:hAnsi="Times New Roman" w:cs="Times New Roman"/>
        </w:rPr>
        <w:t>Lorebooks</w:t>
      </w:r>
      <w:proofErr w:type="spellEnd"/>
      <w:r w:rsidRPr="00060779">
        <w:rPr>
          <w:rFonts w:ascii="Times New Roman" w:hAnsi="Times New Roman" w:cs="Times New Roman"/>
        </w:rPr>
        <w:t>, enabling multi-agent simulation, adversarial logic interaction, or collaborative reasoning.</w:t>
      </w:r>
    </w:p>
    <w:p w14:paraId="5CD9034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w:t>
      </w:r>
      <w:r w:rsidRPr="00060779">
        <w:rPr>
          <w:rFonts w:ascii="Times New Roman" w:hAnsi="Times New Roman" w:cs="Times New Roman"/>
        </w:rPr>
        <w:tab/>
        <w:t>Cognitive Overlay Injection: The engine may operate in “lens mode,” where it is inserted between an external user/system and an LLM, acting as an interpretive transformer for input filtering and output validation.</w:t>
      </w:r>
    </w:p>
    <w:p w14:paraId="0C60D78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These configurations extend the Trililiquary from a standalone logic engine to a composable, </w:t>
      </w:r>
      <w:proofErr w:type="spellStart"/>
      <w:r w:rsidRPr="00060779">
        <w:rPr>
          <w:rFonts w:ascii="Times New Roman" w:hAnsi="Times New Roman" w:cs="Times New Roman"/>
        </w:rPr>
        <w:t>orchestratable</w:t>
      </w:r>
      <w:proofErr w:type="spellEnd"/>
      <w:r w:rsidRPr="00060779">
        <w:rPr>
          <w:rFonts w:ascii="Times New Roman" w:hAnsi="Times New Roman" w:cs="Times New Roman"/>
        </w:rPr>
        <w:t xml:space="preserve"> cognitive module in larger AGI systems.</w:t>
      </w:r>
    </w:p>
    <w:p w14:paraId="7A380F41" w14:textId="77777777" w:rsidR="006C388C" w:rsidRPr="00060779" w:rsidRDefault="006C388C" w:rsidP="006C388C">
      <w:pPr>
        <w:rPr>
          <w:rFonts w:ascii="Times New Roman" w:hAnsi="Times New Roman" w:cs="Times New Roman"/>
        </w:rPr>
      </w:pPr>
    </w:p>
    <w:p w14:paraId="53AE34F0"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LICENSING MODEL</w:t>
      </w:r>
    </w:p>
    <w:p w14:paraId="5D31ACA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The Trililiquary is designed as a modular, licensable cognitive engine with multiple deployment and usage pathways. The architecture supports a flexible intellectual property framework that accommodates individual users, commercial integrators, academic institutions, and enterprise-scale systems.</w:t>
      </w:r>
    </w:p>
    <w:p w14:paraId="28EC869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 Licensing Tiers</w:t>
      </w:r>
    </w:p>
    <w:p w14:paraId="14F5260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1.</w:t>
      </w:r>
      <w:r w:rsidRPr="00060779">
        <w:rPr>
          <w:rFonts w:ascii="Times New Roman" w:hAnsi="Times New Roman" w:cs="Times New Roman"/>
        </w:rPr>
        <w:tab/>
        <w:t>Personal License (Offline / Local Execution)</w:t>
      </w:r>
    </w:p>
    <w:p w14:paraId="1BC0B11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Use of the Trililiquary as a desktop application for single-user creative, analytical, or research purposes.</w:t>
      </w:r>
    </w:p>
    <w:p w14:paraId="4A566AF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No server hosting or shared inference allowed.</w:t>
      </w:r>
    </w:p>
    <w:p w14:paraId="705254A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2.</w:t>
      </w:r>
      <w:r w:rsidRPr="00060779">
        <w:rPr>
          <w:rFonts w:ascii="Times New Roman" w:hAnsi="Times New Roman" w:cs="Times New Roman"/>
        </w:rPr>
        <w:tab/>
        <w:t>Professional License (Extended Features + Limited Commercial Use)</w:t>
      </w:r>
    </w:p>
    <w:p w14:paraId="2185889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Grants access to advanced modules (</w:t>
      </w:r>
      <w:proofErr w:type="spellStart"/>
      <w:r w:rsidRPr="00060779">
        <w:rPr>
          <w:rFonts w:ascii="Times New Roman" w:hAnsi="Times New Roman" w:cs="Times New Roman"/>
        </w:rPr>
        <w:t>Lorebook</w:t>
      </w:r>
      <w:proofErr w:type="spellEnd"/>
      <w:r w:rsidRPr="00060779">
        <w:rPr>
          <w:rFonts w:ascii="Times New Roman" w:hAnsi="Times New Roman" w:cs="Times New Roman"/>
        </w:rPr>
        <w:t xml:space="preserve"> management, persona overlays, audit trail export) for consultants, designers, and applied logic engineers.</w:t>
      </w:r>
    </w:p>
    <w:p w14:paraId="1AD5FC7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Allows limited commercial output, but not integration into 3rd-party platforms.</w:t>
      </w:r>
    </w:p>
    <w:p w14:paraId="1E436BD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3.</w:t>
      </w:r>
      <w:r w:rsidRPr="00060779">
        <w:rPr>
          <w:rFonts w:ascii="Times New Roman" w:hAnsi="Times New Roman" w:cs="Times New Roman"/>
        </w:rPr>
        <w:tab/>
        <w:t>Enterprise License (Internal Use / API Access)</w:t>
      </w:r>
    </w:p>
    <w:p w14:paraId="1B8D3F06"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r>
      <w:proofErr w:type="gramStart"/>
      <w:r w:rsidRPr="00060779">
        <w:rPr>
          <w:rFonts w:ascii="Times New Roman" w:hAnsi="Times New Roman" w:cs="Times New Roman"/>
        </w:rPr>
        <w:t>For</w:t>
      </w:r>
      <w:proofErr w:type="gramEnd"/>
      <w:r w:rsidRPr="00060779">
        <w:rPr>
          <w:rFonts w:ascii="Times New Roman" w:hAnsi="Times New Roman" w:cs="Times New Roman"/>
        </w:rPr>
        <w:t xml:space="preserve"> corporations embedding the Trililiquary into internal workflows, simulation engines, or LLM-based tooling.</w:t>
      </w:r>
    </w:p>
    <w:p w14:paraId="14B77ED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 xml:space="preserve">Includes internal API hosting, team-level access, and private </w:t>
      </w:r>
      <w:proofErr w:type="spellStart"/>
      <w:r w:rsidRPr="00060779">
        <w:rPr>
          <w:rFonts w:ascii="Times New Roman" w:hAnsi="Times New Roman" w:cs="Times New Roman"/>
        </w:rPr>
        <w:t>Lorebook</w:t>
      </w:r>
      <w:proofErr w:type="spellEnd"/>
      <w:r w:rsidRPr="00060779">
        <w:rPr>
          <w:rFonts w:ascii="Times New Roman" w:hAnsi="Times New Roman" w:cs="Times New Roman"/>
        </w:rPr>
        <w:t xml:space="preserve"> schema deployment.</w:t>
      </w:r>
    </w:p>
    <w:p w14:paraId="5E8966F3"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4.</w:t>
      </w:r>
      <w:r w:rsidRPr="00060779">
        <w:rPr>
          <w:rFonts w:ascii="Times New Roman" w:hAnsi="Times New Roman" w:cs="Times New Roman"/>
        </w:rPr>
        <w:tab/>
        <w:t>OEM Integration License (Embedded Systems / SaaS Products)</w:t>
      </w:r>
    </w:p>
    <w:p w14:paraId="583F739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Permits integration of the Trililiquary engine into proprietary products, simulations, games, or AGI toolchains.</w:t>
      </w:r>
    </w:p>
    <w:p w14:paraId="154300C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Includes sublicensing rights and white-label deployments under strict audit/control terms.</w:t>
      </w:r>
    </w:p>
    <w:p w14:paraId="4681118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5.</w:t>
      </w:r>
      <w:r w:rsidRPr="00060779">
        <w:rPr>
          <w:rFonts w:ascii="Times New Roman" w:hAnsi="Times New Roman" w:cs="Times New Roman"/>
        </w:rPr>
        <w:tab/>
        <w:t>Research &amp; Academic License (Non-Commercial Use)</w:t>
      </w:r>
    </w:p>
    <w:p w14:paraId="608B50D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lastRenderedPageBreak/>
        <w:t>o</w:t>
      </w:r>
      <w:r w:rsidRPr="00060779">
        <w:rPr>
          <w:rFonts w:ascii="Times New Roman" w:hAnsi="Times New Roman" w:cs="Times New Roman"/>
        </w:rPr>
        <w:tab/>
        <w:t>Grants access to core engine modules for research, educational instruction, or cognitive architecture experimentation.</w:t>
      </w:r>
    </w:p>
    <w:p w14:paraId="5BA8792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o</w:t>
      </w:r>
      <w:r w:rsidRPr="00060779">
        <w:rPr>
          <w:rFonts w:ascii="Times New Roman" w:hAnsi="Times New Roman" w:cs="Times New Roman"/>
        </w:rPr>
        <w:tab/>
        <w:t>Optional upgrade to publication-level export and simulation chaining.</w:t>
      </w:r>
    </w:p>
    <w:p w14:paraId="378BF23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II. Core Licensing Protections</w:t>
      </w:r>
    </w:p>
    <w:p w14:paraId="0ED81C7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 xml:space="preserve">Triadic Processing Model, Factor Rank Architecture, and </w:t>
      </w:r>
      <w:proofErr w:type="spellStart"/>
      <w:r w:rsidRPr="00060779">
        <w:rPr>
          <w:rFonts w:ascii="Times New Roman" w:hAnsi="Times New Roman" w:cs="Times New Roman"/>
        </w:rPr>
        <w:t>Lorebook</w:t>
      </w:r>
      <w:proofErr w:type="spellEnd"/>
      <w:r w:rsidRPr="00060779">
        <w:rPr>
          <w:rFonts w:ascii="Times New Roman" w:hAnsi="Times New Roman" w:cs="Times New Roman"/>
        </w:rPr>
        <w:t xml:space="preserve"> Deployment Framework are protected as core components of the IP.</w:t>
      </w:r>
    </w:p>
    <w:p w14:paraId="13C9F8ED"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Slipstream Gradient Mechanism, Prime/Sub-Prime Metadata Conditioning, and the Audit-Enabled Inference Chain are treated as premium modules—licensed separately or under NDA-only access in enterprise/OEM contexts.</w:t>
      </w:r>
    </w:p>
    <w:p w14:paraId="465F45D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Visual elements such as the 3D cognitive lattice, rank-based triad flow, and Sub-Prime modular drag system are covered under interface protection and usage restrictions.</w:t>
      </w:r>
    </w:p>
    <w:p w14:paraId="5006DCE3" w14:textId="179CFDCF" w:rsidR="006C388C" w:rsidRPr="00060779" w:rsidRDefault="006C388C" w:rsidP="006C388C">
      <w:pPr>
        <w:rPr>
          <w:rFonts w:ascii="Times New Roman" w:hAnsi="Times New Roman" w:cs="Times New Roman"/>
        </w:rPr>
      </w:pPr>
    </w:p>
    <w:p w14:paraId="3254C882"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III. Deployment &amp; Distribution Channels</w:t>
      </w:r>
    </w:p>
    <w:p w14:paraId="799CE71C"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Offline executable builds (Python/Qt) for direct download.</w:t>
      </w:r>
    </w:p>
    <w:p w14:paraId="135B0CBE"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 xml:space="preserve">Web-based </w:t>
      </w:r>
      <w:proofErr w:type="gramStart"/>
      <w:r w:rsidRPr="00060779">
        <w:rPr>
          <w:rFonts w:ascii="Times New Roman" w:hAnsi="Times New Roman" w:cs="Times New Roman"/>
        </w:rPr>
        <w:t>hosted</w:t>
      </w:r>
      <w:proofErr w:type="gramEnd"/>
      <w:r w:rsidRPr="00060779">
        <w:rPr>
          <w:rFonts w:ascii="Times New Roman" w:hAnsi="Times New Roman" w:cs="Times New Roman"/>
        </w:rPr>
        <w:t xml:space="preserve"> platform (future) for managed subscriptions and API-based inference requests.</w:t>
      </w:r>
    </w:p>
    <w:p w14:paraId="27049A5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Modular export support (e.g., engine DLLs, Python packages) for software embedding.</w:t>
      </w:r>
    </w:p>
    <w:p w14:paraId="76A1896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All versions include machine-readable logs for usage tracking and audit trail compliance.</w:t>
      </w:r>
    </w:p>
    <w:p w14:paraId="2E20AB5A" w14:textId="7CC19F6A" w:rsidR="006C388C" w:rsidRPr="00060779" w:rsidRDefault="006C388C" w:rsidP="006C388C">
      <w:pPr>
        <w:rPr>
          <w:rFonts w:ascii="Times New Roman" w:hAnsi="Times New Roman" w:cs="Times New Roman"/>
        </w:rPr>
      </w:pPr>
    </w:p>
    <w:p w14:paraId="365A766F"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IV. Future Licensing Provisions</w:t>
      </w:r>
    </w:p>
    <w:p w14:paraId="477E58E4"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Planned expansion includes:</w:t>
      </w:r>
    </w:p>
    <w:p w14:paraId="5524F121"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Multi-agent licensing models for distributed cognitive environments</w:t>
      </w:r>
    </w:p>
    <w:p w14:paraId="054351B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Token-based consumption billing for hosted inference cycles</w:t>
      </w:r>
    </w:p>
    <w:p w14:paraId="02A27AFA"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t>
      </w:r>
      <w:r w:rsidRPr="00060779">
        <w:rPr>
          <w:rFonts w:ascii="Times New Roman" w:hAnsi="Times New Roman" w:cs="Times New Roman"/>
        </w:rPr>
        <w:tab/>
        <w:t xml:space="preserve">EULA-based governance of </w:t>
      </w:r>
      <w:proofErr w:type="spellStart"/>
      <w:r w:rsidRPr="00060779">
        <w:rPr>
          <w:rFonts w:ascii="Times New Roman" w:hAnsi="Times New Roman" w:cs="Times New Roman"/>
        </w:rPr>
        <w:t>Lorebook</w:t>
      </w:r>
      <w:proofErr w:type="spellEnd"/>
      <w:r w:rsidRPr="00060779">
        <w:rPr>
          <w:rFonts w:ascii="Times New Roman" w:hAnsi="Times New Roman" w:cs="Times New Roman"/>
        </w:rPr>
        <w:t xml:space="preserve"> resale and derivative personality modules</w:t>
      </w:r>
    </w:p>
    <w:p w14:paraId="2E5483B7" w14:textId="77777777" w:rsidR="006C388C" w:rsidRPr="00060779" w:rsidRDefault="006C388C" w:rsidP="006C388C">
      <w:pPr>
        <w:rPr>
          <w:rFonts w:ascii="Times New Roman" w:hAnsi="Times New Roman" w:cs="Times New Roman"/>
        </w:rPr>
      </w:pPr>
    </w:p>
    <w:p w14:paraId="7B4DD47A" w14:textId="77777777" w:rsidR="006C388C" w:rsidRPr="00060779" w:rsidRDefault="006C388C" w:rsidP="006C388C">
      <w:pPr>
        <w:rPr>
          <w:rFonts w:ascii="Times New Roman" w:hAnsi="Times New Roman" w:cs="Times New Roman"/>
        </w:rPr>
      </w:pPr>
    </w:p>
    <w:p w14:paraId="73DD4AB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 DECLARATION OF INVENTION SCOPE</w:t>
      </w:r>
    </w:p>
    <w:p w14:paraId="0B88858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The Trililiquary represents a novel and original system for deterministic cognitive logic processing, applicable across narrative, analytical, and generative domains. Its architecture, </w:t>
      </w:r>
      <w:r w:rsidRPr="00060779">
        <w:rPr>
          <w:rFonts w:ascii="Times New Roman" w:hAnsi="Times New Roman" w:cs="Times New Roman"/>
        </w:rPr>
        <w:lastRenderedPageBreak/>
        <w:t>triadic processing methodology, and modular reasoning components are original to the inventor and form the foundation of this invention.</w:t>
      </w:r>
    </w:p>
    <w:p w14:paraId="0F7782A8"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 xml:space="preserve">The intent of this specification is to claim priority for all structural, functional, and modular aspects of the Trililiquary engine and its future extensions, including but not limited </w:t>
      </w:r>
      <w:proofErr w:type="gramStart"/>
      <w:r w:rsidRPr="00060779">
        <w:rPr>
          <w:rFonts w:ascii="Times New Roman" w:hAnsi="Times New Roman" w:cs="Times New Roman"/>
        </w:rPr>
        <w:t>to:</w:t>
      </w:r>
      <w:proofErr w:type="gramEnd"/>
      <w:r w:rsidRPr="00060779">
        <w:rPr>
          <w:rFonts w:ascii="Times New Roman" w:hAnsi="Times New Roman" w:cs="Times New Roman"/>
        </w:rPr>
        <w:t xml:space="preserve"> configuration schemas, metadata overlays, recursive logic patterns, and structured output methodologies.</w:t>
      </w:r>
    </w:p>
    <w:p w14:paraId="76DC2F1C" w14:textId="77777777" w:rsidR="006C388C" w:rsidRPr="00060779" w:rsidRDefault="006C388C" w:rsidP="006C388C">
      <w:pPr>
        <w:rPr>
          <w:rFonts w:ascii="Times New Roman" w:hAnsi="Times New Roman" w:cs="Times New Roman"/>
        </w:rPr>
      </w:pPr>
    </w:p>
    <w:p w14:paraId="78083B55" w14:textId="77777777" w:rsidR="006C388C" w:rsidRPr="00060779" w:rsidRDefault="006C388C" w:rsidP="006C388C">
      <w:pPr>
        <w:rPr>
          <w:rFonts w:ascii="Times New Roman" w:hAnsi="Times New Roman" w:cs="Times New Roman"/>
        </w:rPr>
      </w:pPr>
    </w:p>
    <w:p w14:paraId="6ED916F3" w14:textId="77777777" w:rsidR="006C388C" w:rsidRPr="00060779" w:rsidRDefault="006C388C" w:rsidP="006C388C">
      <w:pPr>
        <w:rPr>
          <w:rFonts w:ascii="Times New Roman" w:hAnsi="Times New Roman" w:cs="Times New Roman"/>
        </w:rPr>
      </w:pPr>
    </w:p>
    <w:p w14:paraId="195257D9"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Signed,</w:t>
      </w:r>
    </w:p>
    <w:p w14:paraId="0700E525"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William Wallace Morehead</w:t>
      </w:r>
    </w:p>
    <w:p w14:paraId="48637097" w14:textId="77777777" w:rsidR="006C388C" w:rsidRPr="00060779" w:rsidRDefault="006C388C" w:rsidP="006C388C">
      <w:pPr>
        <w:rPr>
          <w:rFonts w:ascii="Times New Roman" w:hAnsi="Times New Roman" w:cs="Times New Roman"/>
        </w:rPr>
      </w:pPr>
      <w:r w:rsidRPr="00060779">
        <w:rPr>
          <w:rFonts w:ascii="Times New Roman" w:hAnsi="Times New Roman" w:cs="Times New Roman"/>
        </w:rPr>
        <w:t>Date: 03/30/2025</w:t>
      </w:r>
    </w:p>
    <w:p w14:paraId="152FA5C4" w14:textId="77777777" w:rsidR="0034533E" w:rsidRPr="006C388C" w:rsidRDefault="0034533E" w:rsidP="006C388C"/>
    <w:sectPr w:rsidR="0034533E" w:rsidRPr="006C3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8C"/>
    <w:rsid w:val="0003591A"/>
    <w:rsid w:val="00060779"/>
    <w:rsid w:val="001C77C2"/>
    <w:rsid w:val="00292055"/>
    <w:rsid w:val="0034533E"/>
    <w:rsid w:val="00455D28"/>
    <w:rsid w:val="006C2645"/>
    <w:rsid w:val="006C388C"/>
    <w:rsid w:val="00BD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609D"/>
  <w15:chartTrackingRefBased/>
  <w15:docId w15:val="{11D709F5-7F2C-48AA-A3A6-81CDC254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88C"/>
    <w:rPr>
      <w:rFonts w:eastAsiaTheme="majorEastAsia" w:cstheme="majorBidi"/>
      <w:color w:val="272727" w:themeColor="text1" w:themeTint="D8"/>
    </w:rPr>
  </w:style>
  <w:style w:type="paragraph" w:styleId="Title">
    <w:name w:val="Title"/>
    <w:basedOn w:val="Normal"/>
    <w:next w:val="Normal"/>
    <w:link w:val="TitleChar"/>
    <w:uiPriority w:val="10"/>
    <w:qFormat/>
    <w:rsid w:val="006C3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88C"/>
    <w:pPr>
      <w:spacing w:before="160"/>
      <w:jc w:val="center"/>
    </w:pPr>
    <w:rPr>
      <w:i/>
      <w:iCs/>
      <w:color w:val="404040" w:themeColor="text1" w:themeTint="BF"/>
    </w:rPr>
  </w:style>
  <w:style w:type="character" w:customStyle="1" w:styleId="QuoteChar">
    <w:name w:val="Quote Char"/>
    <w:basedOn w:val="DefaultParagraphFont"/>
    <w:link w:val="Quote"/>
    <w:uiPriority w:val="29"/>
    <w:rsid w:val="006C388C"/>
    <w:rPr>
      <w:i/>
      <w:iCs/>
      <w:color w:val="404040" w:themeColor="text1" w:themeTint="BF"/>
    </w:rPr>
  </w:style>
  <w:style w:type="paragraph" w:styleId="ListParagraph">
    <w:name w:val="List Paragraph"/>
    <w:basedOn w:val="Normal"/>
    <w:uiPriority w:val="34"/>
    <w:qFormat/>
    <w:rsid w:val="006C388C"/>
    <w:pPr>
      <w:ind w:left="720"/>
      <w:contextualSpacing/>
    </w:pPr>
  </w:style>
  <w:style w:type="character" w:styleId="IntenseEmphasis">
    <w:name w:val="Intense Emphasis"/>
    <w:basedOn w:val="DefaultParagraphFont"/>
    <w:uiPriority w:val="21"/>
    <w:qFormat/>
    <w:rsid w:val="006C388C"/>
    <w:rPr>
      <w:i/>
      <w:iCs/>
      <w:color w:val="0F4761" w:themeColor="accent1" w:themeShade="BF"/>
    </w:rPr>
  </w:style>
  <w:style w:type="paragraph" w:styleId="IntenseQuote">
    <w:name w:val="Intense Quote"/>
    <w:basedOn w:val="Normal"/>
    <w:next w:val="Normal"/>
    <w:link w:val="IntenseQuoteChar"/>
    <w:uiPriority w:val="30"/>
    <w:qFormat/>
    <w:rsid w:val="006C3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88C"/>
    <w:rPr>
      <w:i/>
      <w:iCs/>
      <w:color w:val="0F4761" w:themeColor="accent1" w:themeShade="BF"/>
    </w:rPr>
  </w:style>
  <w:style w:type="character" w:styleId="IntenseReference">
    <w:name w:val="Intense Reference"/>
    <w:basedOn w:val="DefaultParagraphFont"/>
    <w:uiPriority w:val="32"/>
    <w:qFormat/>
    <w:rsid w:val="006C3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2862</Words>
  <Characters>16315</Characters>
  <Application>Microsoft Office Word</Application>
  <DocSecurity>0</DocSecurity>
  <Lines>135</Lines>
  <Paragraphs>38</Paragraphs>
  <ScaleCrop>false</ScaleCrop>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 Important No</dc:creator>
  <cp:keywords/>
  <dc:description/>
  <cp:lastModifiedBy>Not Important No</cp:lastModifiedBy>
  <cp:revision>2</cp:revision>
  <dcterms:created xsi:type="dcterms:W3CDTF">2025-03-30T22:37:00Z</dcterms:created>
  <dcterms:modified xsi:type="dcterms:W3CDTF">2025-03-30T22:42:00Z</dcterms:modified>
</cp:coreProperties>
</file>