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7E45" w14:textId="77777777" w:rsidR="000B2AEB" w:rsidRPr="000B2AEB" w:rsidRDefault="000B2AEB" w:rsidP="000B2AEB">
      <w:pPr>
        <w:rPr>
          <w:b/>
          <w:bCs/>
        </w:rPr>
      </w:pPr>
      <w:r w:rsidRPr="000B2AEB">
        <w:rPr>
          <w:rFonts w:ascii="Segoe UI Emoji" w:hAnsi="Segoe UI Emoji" w:cs="Segoe UI Emoji"/>
          <w:b/>
          <w:bCs/>
        </w:rPr>
        <w:t>🧠</w:t>
      </w:r>
      <w:r w:rsidRPr="000B2AEB">
        <w:rPr>
          <w:b/>
          <w:bCs/>
        </w:rPr>
        <w:t xml:space="preserve"> System Components</w:t>
      </w:r>
    </w:p>
    <w:p w14:paraId="6D1EE49F" w14:textId="77777777" w:rsidR="000B2AEB" w:rsidRPr="000B2AEB" w:rsidRDefault="000B2AEB" w:rsidP="000B2AEB">
      <w:pPr>
        <w:rPr>
          <w:b/>
          <w:bCs/>
        </w:rPr>
      </w:pPr>
      <w:r w:rsidRPr="000B2AEB">
        <w:rPr>
          <w:b/>
          <w:bCs/>
        </w:rPr>
        <w:t>1. Axial Groupings (3 Total)</w:t>
      </w:r>
    </w:p>
    <w:p w14:paraId="55359382" w14:textId="77777777" w:rsidR="000B2AEB" w:rsidRPr="000B2AEB" w:rsidRDefault="000B2AEB" w:rsidP="000B2AEB">
      <w:pPr>
        <w:numPr>
          <w:ilvl w:val="0"/>
          <w:numId w:val="1"/>
        </w:numPr>
      </w:pPr>
      <w:r w:rsidRPr="000B2AEB">
        <w:t>Conceptual containers for parallel processing layers.</w:t>
      </w:r>
    </w:p>
    <w:p w14:paraId="0368C3DD" w14:textId="77777777" w:rsidR="000B2AEB" w:rsidRPr="000B2AEB" w:rsidRDefault="000B2AEB" w:rsidP="000B2AEB">
      <w:pPr>
        <w:numPr>
          <w:ilvl w:val="0"/>
          <w:numId w:val="1"/>
        </w:numPr>
      </w:pPr>
      <w:r w:rsidRPr="000B2AEB">
        <w:t>Label-neutral; represent distinct organizational perspectives (e.g., "Group A", "Group B", "Group C").</w:t>
      </w:r>
    </w:p>
    <w:p w14:paraId="652E9C65" w14:textId="77777777" w:rsidR="000B2AEB" w:rsidRPr="000B2AEB" w:rsidRDefault="000B2AEB" w:rsidP="000B2AEB">
      <w:pPr>
        <w:numPr>
          <w:ilvl w:val="0"/>
          <w:numId w:val="1"/>
        </w:numPr>
      </w:pPr>
      <w:r w:rsidRPr="000B2AEB">
        <w:t>Each grouping contains 3 Pillars.</w:t>
      </w:r>
    </w:p>
    <w:p w14:paraId="4832C7DA" w14:textId="77777777" w:rsidR="000B2AEB" w:rsidRPr="000B2AEB" w:rsidRDefault="000B2AEB" w:rsidP="000B2AEB">
      <w:r w:rsidRPr="000B2AEB">
        <w:pict w14:anchorId="49BD43A9">
          <v:rect id="_x0000_i1085" style="width:0;height:1.5pt" o:hralign="center" o:hrstd="t" o:hr="t" fillcolor="#a0a0a0" stroked="f"/>
        </w:pict>
      </w:r>
    </w:p>
    <w:p w14:paraId="5F29C505" w14:textId="77777777" w:rsidR="000B2AEB" w:rsidRPr="000B2AEB" w:rsidRDefault="000B2AEB" w:rsidP="000B2AEB">
      <w:pPr>
        <w:rPr>
          <w:b/>
          <w:bCs/>
        </w:rPr>
      </w:pPr>
      <w:r w:rsidRPr="000B2AEB">
        <w:rPr>
          <w:b/>
          <w:bCs/>
        </w:rPr>
        <w:t>2. Pillars (3 per grouping, 9 total)</w:t>
      </w:r>
    </w:p>
    <w:p w14:paraId="60782DF3" w14:textId="77777777" w:rsidR="000B2AEB" w:rsidRPr="000B2AEB" w:rsidRDefault="000B2AEB" w:rsidP="000B2AEB">
      <w:pPr>
        <w:numPr>
          <w:ilvl w:val="0"/>
          <w:numId w:val="2"/>
        </w:numPr>
      </w:pPr>
      <w:r w:rsidRPr="000B2AEB">
        <w:t>Represent core domains of evaluation (e.g., “Axis 1”, “Axis 2”, “Axis 3”).</w:t>
      </w:r>
    </w:p>
    <w:p w14:paraId="7D87BB02" w14:textId="77777777" w:rsidR="000B2AEB" w:rsidRPr="000B2AEB" w:rsidRDefault="000B2AEB" w:rsidP="000B2AEB">
      <w:pPr>
        <w:numPr>
          <w:ilvl w:val="0"/>
          <w:numId w:val="2"/>
        </w:numPr>
      </w:pPr>
      <w:r w:rsidRPr="000B2AEB">
        <w:t>Consistent across groupings to ensure structural symmetry.</w:t>
      </w:r>
    </w:p>
    <w:p w14:paraId="5B1E45F8" w14:textId="77777777" w:rsidR="000B2AEB" w:rsidRPr="000B2AEB" w:rsidRDefault="000B2AEB" w:rsidP="000B2AEB">
      <w:pPr>
        <w:numPr>
          <w:ilvl w:val="0"/>
          <w:numId w:val="2"/>
        </w:numPr>
      </w:pPr>
      <w:r w:rsidRPr="000B2AEB">
        <w:t>Each pillar functions as a value spectrum (mapped from -50 to +50) divided into 7 color-coded ranges.</w:t>
      </w:r>
    </w:p>
    <w:p w14:paraId="336F19E1" w14:textId="77777777" w:rsidR="000B2AEB" w:rsidRPr="000B2AEB" w:rsidRDefault="000B2AEB" w:rsidP="000B2AEB">
      <w:r w:rsidRPr="000B2AEB">
        <w:pict w14:anchorId="7CD97A31">
          <v:rect id="_x0000_i1086" style="width:0;height:1.5pt" o:hralign="center" o:hrstd="t" o:hr="t" fillcolor="#a0a0a0" stroked="f"/>
        </w:pict>
      </w:r>
    </w:p>
    <w:p w14:paraId="48409DF6" w14:textId="77777777" w:rsidR="000B2AEB" w:rsidRPr="000B2AEB" w:rsidRDefault="000B2AEB" w:rsidP="000B2AEB">
      <w:pPr>
        <w:rPr>
          <w:b/>
          <w:bCs/>
        </w:rPr>
      </w:pPr>
      <w:r w:rsidRPr="000B2AEB">
        <w:rPr>
          <w:b/>
          <w:bCs/>
        </w:rPr>
        <w:t>3. Subcategories (7 per pillar, 63 total)</w:t>
      </w:r>
    </w:p>
    <w:p w14:paraId="71F8BC4F" w14:textId="77777777" w:rsidR="000B2AEB" w:rsidRPr="000B2AEB" w:rsidRDefault="000B2AEB" w:rsidP="000B2AEB">
      <w:pPr>
        <w:numPr>
          <w:ilvl w:val="0"/>
          <w:numId w:val="3"/>
        </w:numPr>
      </w:pPr>
      <w:r w:rsidRPr="000B2AEB">
        <w:t>Represent specific adjustable components within each pillar.</w:t>
      </w:r>
    </w:p>
    <w:p w14:paraId="6E5D09A6" w14:textId="77777777" w:rsidR="000B2AEB" w:rsidRPr="000B2AEB" w:rsidRDefault="000B2AEB" w:rsidP="000B2AEB">
      <w:pPr>
        <w:numPr>
          <w:ilvl w:val="0"/>
          <w:numId w:val="3"/>
        </w:numPr>
      </w:pPr>
      <w:r w:rsidRPr="000B2AEB">
        <w:t>Visualized as draggable spheres aligned along the value spectrum.</w:t>
      </w:r>
    </w:p>
    <w:p w14:paraId="02481554" w14:textId="77777777" w:rsidR="000B2AEB" w:rsidRPr="000B2AEB" w:rsidRDefault="000B2AEB" w:rsidP="000B2AEB">
      <w:pPr>
        <w:numPr>
          <w:ilvl w:val="0"/>
          <w:numId w:val="3"/>
        </w:numPr>
      </w:pPr>
      <w:r w:rsidRPr="000B2AEB">
        <w:t>Movement updates rank/value and corresponding color band.</w:t>
      </w:r>
    </w:p>
    <w:p w14:paraId="2266D9E9" w14:textId="77777777" w:rsidR="000B2AEB" w:rsidRPr="000B2AEB" w:rsidRDefault="000B2AEB" w:rsidP="000B2AEB">
      <w:r w:rsidRPr="000B2AEB">
        <w:pict w14:anchorId="3E3194CC">
          <v:rect id="_x0000_i1087" style="width:0;height:1.5pt" o:hralign="center" o:hrstd="t" o:hr="t" fillcolor="#a0a0a0" stroked="f"/>
        </w:pict>
      </w:r>
    </w:p>
    <w:p w14:paraId="5EC2816F" w14:textId="77777777" w:rsidR="000B2AEB" w:rsidRPr="000B2AEB" w:rsidRDefault="000B2AEB" w:rsidP="000B2AEB">
      <w:pPr>
        <w:rPr>
          <w:b/>
          <w:bCs/>
        </w:rPr>
      </w:pPr>
      <w:r w:rsidRPr="000B2AEB">
        <w:rPr>
          <w:b/>
          <w:bCs/>
        </w:rPr>
        <w:t>4. Color Bands &amp; Gradient Ranges</w:t>
      </w:r>
    </w:p>
    <w:p w14:paraId="66EC5C3C" w14:textId="77777777" w:rsidR="000B2AEB" w:rsidRPr="000B2AEB" w:rsidRDefault="000B2AEB" w:rsidP="000B2AEB">
      <w:pPr>
        <w:numPr>
          <w:ilvl w:val="0"/>
          <w:numId w:val="4"/>
        </w:numPr>
      </w:pPr>
      <w:r w:rsidRPr="000B2AEB">
        <w:t>Each pillar’s spectrum is divided into 7 continuous ranges, each associated with a primary color (e.g., ROYGBIV).</w:t>
      </w:r>
    </w:p>
    <w:p w14:paraId="149B4CA1" w14:textId="77777777" w:rsidR="000B2AEB" w:rsidRPr="000B2AEB" w:rsidRDefault="000B2AEB" w:rsidP="000B2AEB">
      <w:pPr>
        <w:numPr>
          <w:ilvl w:val="0"/>
          <w:numId w:val="4"/>
        </w:numPr>
      </w:pPr>
      <w:r w:rsidRPr="000B2AEB">
        <w:t>Used for visual feedback and slipstream matching.</w:t>
      </w:r>
    </w:p>
    <w:p w14:paraId="24D7865F" w14:textId="77777777" w:rsidR="000B2AEB" w:rsidRPr="000B2AEB" w:rsidRDefault="000B2AEB" w:rsidP="000B2AEB">
      <w:pPr>
        <w:numPr>
          <w:ilvl w:val="0"/>
          <w:numId w:val="4"/>
        </w:numPr>
      </w:pPr>
      <w:r w:rsidRPr="000B2AEB">
        <w:t>Position within gradient determines alignment potential.</w:t>
      </w:r>
    </w:p>
    <w:p w14:paraId="7B4AA1BB" w14:textId="77777777" w:rsidR="000B2AEB" w:rsidRPr="000B2AEB" w:rsidRDefault="000B2AEB" w:rsidP="000B2AEB">
      <w:r w:rsidRPr="000B2AEB">
        <w:pict w14:anchorId="0F263EA3">
          <v:rect id="_x0000_i1088" style="width:0;height:1.5pt" o:hralign="center" o:hrstd="t" o:hr="t" fillcolor="#a0a0a0" stroked="f"/>
        </w:pict>
      </w:r>
    </w:p>
    <w:p w14:paraId="792B7E1D" w14:textId="77777777" w:rsidR="000B2AEB" w:rsidRPr="000B2AEB" w:rsidRDefault="000B2AEB" w:rsidP="000B2AEB">
      <w:pPr>
        <w:rPr>
          <w:b/>
          <w:bCs/>
        </w:rPr>
      </w:pPr>
      <w:r w:rsidRPr="000B2AEB">
        <w:rPr>
          <w:b/>
          <w:bCs/>
        </w:rPr>
        <w:t>5. Layer &amp; Axis Ranking</w:t>
      </w:r>
    </w:p>
    <w:p w14:paraId="1492100E" w14:textId="77777777" w:rsidR="000B2AEB" w:rsidRPr="000B2AEB" w:rsidRDefault="000B2AEB" w:rsidP="000B2AEB">
      <w:pPr>
        <w:numPr>
          <w:ilvl w:val="0"/>
          <w:numId w:val="5"/>
        </w:numPr>
      </w:pPr>
      <w:r w:rsidRPr="000B2AEB">
        <w:t>Users can:</w:t>
      </w:r>
    </w:p>
    <w:p w14:paraId="427EA3C1" w14:textId="77777777" w:rsidR="000B2AEB" w:rsidRPr="000B2AEB" w:rsidRDefault="000B2AEB" w:rsidP="000B2AEB">
      <w:pPr>
        <w:numPr>
          <w:ilvl w:val="1"/>
          <w:numId w:val="5"/>
        </w:numPr>
      </w:pPr>
      <w:r w:rsidRPr="000B2AEB">
        <w:t>Reorder subcategories within each pillar.</w:t>
      </w:r>
    </w:p>
    <w:p w14:paraId="0F5D0593" w14:textId="77777777" w:rsidR="000B2AEB" w:rsidRPr="000B2AEB" w:rsidRDefault="000B2AEB" w:rsidP="000B2AEB">
      <w:pPr>
        <w:numPr>
          <w:ilvl w:val="1"/>
          <w:numId w:val="5"/>
        </w:numPr>
      </w:pPr>
      <w:r w:rsidRPr="000B2AEB">
        <w:lastRenderedPageBreak/>
        <w:t>Rank pillars within each axial grouping.</w:t>
      </w:r>
    </w:p>
    <w:p w14:paraId="7EAB7F70" w14:textId="77777777" w:rsidR="000B2AEB" w:rsidRPr="000B2AEB" w:rsidRDefault="000B2AEB" w:rsidP="000B2AEB">
      <w:pPr>
        <w:numPr>
          <w:ilvl w:val="1"/>
          <w:numId w:val="5"/>
        </w:numPr>
      </w:pPr>
      <w:r w:rsidRPr="000B2AEB">
        <w:t>Rank the axial groupings globally.</w:t>
      </w:r>
    </w:p>
    <w:p w14:paraId="1444DDE2" w14:textId="77777777" w:rsidR="000B2AEB" w:rsidRPr="000B2AEB" w:rsidRDefault="000B2AEB" w:rsidP="000B2AEB">
      <w:pPr>
        <w:numPr>
          <w:ilvl w:val="0"/>
          <w:numId w:val="5"/>
        </w:numPr>
      </w:pPr>
      <w:r w:rsidRPr="000B2AEB">
        <w:t>This dynamic prioritization influences the system’s decision-weighting behavior.</w:t>
      </w:r>
    </w:p>
    <w:p w14:paraId="3100D3AF" w14:textId="77777777" w:rsidR="000B2AEB" w:rsidRPr="000B2AEB" w:rsidRDefault="000B2AEB" w:rsidP="000B2AEB">
      <w:r w:rsidRPr="000B2AEB">
        <w:pict w14:anchorId="493DB59A">
          <v:rect id="_x0000_i1089" style="width:0;height:1.5pt" o:hralign="center" o:hrstd="t" o:hr="t" fillcolor="#a0a0a0" stroked="f"/>
        </w:pict>
      </w:r>
    </w:p>
    <w:p w14:paraId="07C5BD57" w14:textId="77777777" w:rsidR="000B2AEB" w:rsidRPr="000B2AEB" w:rsidRDefault="000B2AEB" w:rsidP="000B2AEB">
      <w:pPr>
        <w:rPr>
          <w:b/>
          <w:bCs/>
        </w:rPr>
      </w:pPr>
      <w:r w:rsidRPr="000B2AEB">
        <w:rPr>
          <w:b/>
          <w:bCs/>
        </w:rPr>
        <w:t>6. Slipstreams</w:t>
      </w:r>
    </w:p>
    <w:p w14:paraId="47FD6123" w14:textId="77777777" w:rsidR="000B2AEB" w:rsidRPr="000B2AEB" w:rsidRDefault="000B2AEB" w:rsidP="000B2AEB">
      <w:pPr>
        <w:numPr>
          <w:ilvl w:val="0"/>
          <w:numId w:val="6"/>
        </w:numPr>
      </w:pPr>
      <w:r w:rsidRPr="000B2AEB">
        <w:t>Logical alignments that occur when subcategories across different groupings share the same color band.</w:t>
      </w:r>
    </w:p>
    <w:p w14:paraId="5E844DD6" w14:textId="77777777" w:rsidR="000B2AEB" w:rsidRPr="000B2AEB" w:rsidRDefault="000B2AEB" w:rsidP="000B2AEB">
      <w:pPr>
        <w:numPr>
          <w:ilvl w:val="0"/>
          <w:numId w:val="6"/>
        </w:numPr>
      </w:pPr>
      <w:r w:rsidRPr="000B2AEB">
        <w:t>The closer the alignment, the stronger the slipstream.</w:t>
      </w:r>
    </w:p>
    <w:p w14:paraId="14AAE795" w14:textId="77777777" w:rsidR="000B2AEB" w:rsidRPr="000B2AEB" w:rsidRDefault="000B2AEB" w:rsidP="000B2AEB">
      <w:pPr>
        <w:numPr>
          <w:ilvl w:val="0"/>
          <w:numId w:val="6"/>
        </w:numPr>
      </w:pPr>
      <w:r w:rsidRPr="000B2AEB">
        <w:t>Slipstreams represent potential for enhanced influence, flow redirection, or emergent interaction.</w:t>
      </w:r>
    </w:p>
    <w:p w14:paraId="7B82F4A0" w14:textId="77777777" w:rsidR="000B2AEB" w:rsidRPr="000B2AEB" w:rsidRDefault="000B2AEB" w:rsidP="000B2AEB">
      <w:r w:rsidRPr="000B2AEB">
        <w:pict w14:anchorId="5F6CAC3C">
          <v:rect id="_x0000_i1090" style="width:0;height:1.5pt" o:hralign="center" o:hrstd="t" o:hr="t" fillcolor="#a0a0a0" stroked="f"/>
        </w:pict>
      </w:r>
    </w:p>
    <w:p w14:paraId="69EF927D" w14:textId="77777777" w:rsidR="000B2AEB" w:rsidRPr="000B2AEB" w:rsidRDefault="000B2AEB" w:rsidP="000B2AEB">
      <w:pPr>
        <w:rPr>
          <w:b/>
          <w:bCs/>
        </w:rPr>
      </w:pPr>
      <w:r w:rsidRPr="000B2AEB">
        <w:rPr>
          <w:b/>
          <w:bCs/>
        </w:rPr>
        <w:t>7. The Trililiquary</w:t>
      </w:r>
    </w:p>
    <w:p w14:paraId="26D3A2B3" w14:textId="77777777" w:rsidR="000B2AEB" w:rsidRPr="000B2AEB" w:rsidRDefault="000B2AEB" w:rsidP="000B2AEB">
      <w:pPr>
        <w:numPr>
          <w:ilvl w:val="0"/>
          <w:numId w:val="7"/>
        </w:numPr>
      </w:pPr>
      <w:r w:rsidRPr="000B2AEB">
        <w:t>A non-visual, structural subsystem that activates when slipstream alignment conditions are met.</w:t>
      </w:r>
    </w:p>
    <w:p w14:paraId="201565FA" w14:textId="77777777" w:rsidR="000B2AEB" w:rsidRPr="000B2AEB" w:rsidRDefault="000B2AEB" w:rsidP="000B2AEB">
      <w:pPr>
        <w:numPr>
          <w:ilvl w:val="0"/>
          <w:numId w:val="7"/>
        </w:numPr>
      </w:pPr>
      <w:r w:rsidRPr="000B2AEB">
        <w:t>Redirects inference flow across groupings and pillars.</w:t>
      </w:r>
    </w:p>
    <w:p w14:paraId="6FF5DD17" w14:textId="77777777" w:rsidR="000B2AEB" w:rsidRPr="000B2AEB" w:rsidRDefault="000B2AEB" w:rsidP="000B2AEB">
      <w:pPr>
        <w:numPr>
          <w:ilvl w:val="0"/>
          <w:numId w:val="7"/>
        </w:numPr>
      </w:pPr>
      <w:r w:rsidRPr="000B2AEB">
        <w:t>Enables unplanned, emergent outcomes based on user-defined configurations.</w:t>
      </w:r>
    </w:p>
    <w:p w14:paraId="462FC12D" w14:textId="77777777" w:rsidR="000B2AEB" w:rsidRPr="000B2AEB" w:rsidRDefault="000B2AEB" w:rsidP="000B2AEB">
      <w:pPr>
        <w:numPr>
          <w:ilvl w:val="0"/>
          <w:numId w:val="7"/>
        </w:numPr>
      </w:pPr>
      <w:r w:rsidRPr="000B2AEB">
        <w:t xml:space="preserve">Operates as a </w:t>
      </w:r>
      <w:r w:rsidRPr="000B2AEB">
        <w:rPr>
          <w:b/>
          <w:bCs/>
        </w:rPr>
        <w:t>routing and transformation layer</w:t>
      </w:r>
      <w:r w:rsidRPr="000B2AEB">
        <w:t>, not a fixed rule engine.</w:t>
      </w:r>
    </w:p>
    <w:p w14:paraId="3112C513" w14:textId="77777777" w:rsidR="000B2AEB" w:rsidRPr="000B2AEB" w:rsidRDefault="000B2AEB" w:rsidP="000B2AEB">
      <w:r w:rsidRPr="000B2AEB">
        <w:pict w14:anchorId="67186B16">
          <v:rect id="_x0000_i1091" style="width:0;height:1.5pt" o:hralign="center" o:hrstd="t" o:hr="t" fillcolor="#a0a0a0" stroked="f"/>
        </w:pict>
      </w:r>
    </w:p>
    <w:p w14:paraId="381F28B1" w14:textId="77777777" w:rsidR="000B2AEB" w:rsidRPr="000B2AEB" w:rsidRDefault="000B2AEB" w:rsidP="000B2AEB">
      <w:pPr>
        <w:rPr>
          <w:b/>
          <w:bCs/>
        </w:rPr>
      </w:pPr>
      <w:r w:rsidRPr="000B2AEB">
        <w:rPr>
          <w:b/>
          <w:bCs/>
        </w:rPr>
        <w:t>8. Input &amp; Output Flow</w:t>
      </w:r>
    </w:p>
    <w:p w14:paraId="1E68F062" w14:textId="77777777" w:rsidR="000B2AEB" w:rsidRPr="000B2AEB" w:rsidRDefault="000B2AEB" w:rsidP="000B2AEB">
      <w:pPr>
        <w:numPr>
          <w:ilvl w:val="0"/>
          <w:numId w:val="8"/>
        </w:numPr>
      </w:pPr>
      <w:r w:rsidRPr="000B2AEB">
        <w:t>User interaction defines an input entry point (origin of decision flow).</w:t>
      </w:r>
    </w:p>
    <w:p w14:paraId="3ADAB086" w14:textId="77777777" w:rsidR="000B2AEB" w:rsidRPr="000B2AEB" w:rsidRDefault="000B2AEB" w:rsidP="000B2AEB">
      <w:pPr>
        <w:numPr>
          <w:ilvl w:val="0"/>
          <w:numId w:val="8"/>
        </w:numPr>
      </w:pPr>
      <w:r w:rsidRPr="000B2AEB">
        <w:t>The system processes in parallel across groupings.</w:t>
      </w:r>
    </w:p>
    <w:p w14:paraId="72B2E51C" w14:textId="77777777" w:rsidR="000B2AEB" w:rsidRPr="000B2AEB" w:rsidRDefault="000B2AEB" w:rsidP="000B2AEB">
      <w:pPr>
        <w:numPr>
          <w:ilvl w:val="0"/>
          <w:numId w:val="8"/>
        </w:numPr>
      </w:pPr>
      <w:r w:rsidRPr="000B2AEB">
        <w:t>If alignment criteria are satisfied, the flow may be redirected via the Trililiquary to an alternate outcome pathway.</w:t>
      </w:r>
    </w:p>
    <w:p w14:paraId="540C5A9B" w14:textId="77777777" w:rsidR="000B2AEB" w:rsidRPr="000B2AEB" w:rsidRDefault="000B2AEB" w:rsidP="000B2AEB">
      <w:r w:rsidRPr="000B2AEB">
        <w:pict w14:anchorId="2ED11D69">
          <v:rect id="_x0000_i1092" style="width:0;height:1.5pt" o:hralign="center" o:hrstd="t" o:hr="t" fillcolor="#a0a0a0" stroked="f"/>
        </w:pict>
      </w:r>
    </w:p>
    <w:p w14:paraId="78FCDAD3" w14:textId="77777777" w:rsidR="000B2AEB" w:rsidRPr="000B2AEB" w:rsidRDefault="000B2AEB" w:rsidP="000B2AEB">
      <w:pPr>
        <w:rPr>
          <w:b/>
          <w:bCs/>
        </w:rPr>
      </w:pPr>
      <w:r w:rsidRPr="000B2AEB">
        <w:rPr>
          <w:rFonts w:ascii="Segoe UI Emoji" w:hAnsi="Segoe UI Emoji" w:cs="Segoe UI Emoji"/>
          <w:b/>
          <w:bCs/>
        </w:rPr>
        <w:t>💡</w:t>
      </w:r>
      <w:r w:rsidRPr="000B2AEB">
        <w:rPr>
          <w:b/>
          <w:bCs/>
        </w:rPr>
        <w:t xml:space="preserve"> Key Attributes</w:t>
      </w:r>
    </w:p>
    <w:p w14:paraId="1763CDC9" w14:textId="77777777" w:rsidR="000B2AEB" w:rsidRPr="000B2AEB" w:rsidRDefault="000B2AEB" w:rsidP="000B2AEB">
      <w:pPr>
        <w:numPr>
          <w:ilvl w:val="0"/>
          <w:numId w:val="9"/>
        </w:numPr>
      </w:pPr>
      <w:r w:rsidRPr="000B2AEB">
        <w:rPr>
          <w:b/>
          <w:bCs/>
        </w:rPr>
        <w:t>Domain-Agnostic</w:t>
      </w:r>
      <w:r w:rsidRPr="000B2AEB">
        <w:t>: Adaptable to any field (e.g., healthcare, education, design, ethics, simulation).</w:t>
      </w:r>
    </w:p>
    <w:p w14:paraId="6ADA58AE" w14:textId="77777777" w:rsidR="000B2AEB" w:rsidRPr="000B2AEB" w:rsidRDefault="000B2AEB" w:rsidP="000B2AEB">
      <w:pPr>
        <w:numPr>
          <w:ilvl w:val="0"/>
          <w:numId w:val="9"/>
        </w:numPr>
      </w:pPr>
      <w:r w:rsidRPr="000B2AEB">
        <w:rPr>
          <w:b/>
          <w:bCs/>
        </w:rPr>
        <w:lastRenderedPageBreak/>
        <w:t>Fully Visual</w:t>
      </w:r>
      <w:r w:rsidRPr="000B2AEB">
        <w:t>: No code needed to interact with, configure, or prioritize elements.</w:t>
      </w:r>
    </w:p>
    <w:p w14:paraId="5589020C" w14:textId="77777777" w:rsidR="000B2AEB" w:rsidRPr="000B2AEB" w:rsidRDefault="000B2AEB" w:rsidP="000B2AEB">
      <w:pPr>
        <w:numPr>
          <w:ilvl w:val="0"/>
          <w:numId w:val="9"/>
        </w:numPr>
      </w:pPr>
      <w:r w:rsidRPr="000B2AEB">
        <w:rPr>
          <w:b/>
          <w:bCs/>
        </w:rPr>
        <w:t>Customizable</w:t>
      </w:r>
      <w:r w:rsidRPr="000B2AEB">
        <w:t>: All labels, weights, and mappings are user-definable.</w:t>
      </w:r>
    </w:p>
    <w:p w14:paraId="04206380" w14:textId="77777777" w:rsidR="000B2AEB" w:rsidRPr="000B2AEB" w:rsidRDefault="000B2AEB" w:rsidP="000B2AEB">
      <w:pPr>
        <w:numPr>
          <w:ilvl w:val="0"/>
          <w:numId w:val="9"/>
        </w:numPr>
      </w:pPr>
      <w:r w:rsidRPr="000B2AEB">
        <w:rPr>
          <w:b/>
          <w:bCs/>
        </w:rPr>
        <w:t>Emergent</w:t>
      </w:r>
      <w:r w:rsidRPr="000B2AEB">
        <w:t>: Supports non-linear, user-shaped decision outcomes.</w:t>
      </w:r>
    </w:p>
    <w:p w14:paraId="6995D082" w14:textId="77777777" w:rsidR="000B2AEB" w:rsidRPr="000B2AEB" w:rsidRDefault="000B2AEB" w:rsidP="000B2AEB">
      <w:r w:rsidRPr="000B2AEB">
        <w:pict w14:anchorId="276206A2">
          <v:rect id="_x0000_i1093" style="width:0;height:1.5pt" o:hralign="center" o:hrstd="t" o:hr="t" fillcolor="#a0a0a0" stroked="f"/>
        </w:pict>
      </w:r>
    </w:p>
    <w:p w14:paraId="336CEF1B" w14:textId="77777777" w:rsidR="000B2AEB" w:rsidRPr="000B2AEB" w:rsidRDefault="000B2AEB" w:rsidP="000B2AEB">
      <w:pPr>
        <w:rPr>
          <w:b/>
          <w:bCs/>
        </w:rPr>
      </w:pPr>
      <w:r w:rsidRPr="000B2AEB">
        <w:rPr>
          <w:rFonts w:ascii="Segoe UI Emoji" w:hAnsi="Segoe UI Emoji" w:cs="Segoe UI Emoji"/>
          <w:b/>
          <w:bCs/>
        </w:rPr>
        <w:t>✅</w:t>
      </w:r>
      <w:r w:rsidRPr="000B2AEB">
        <w:rPr>
          <w:b/>
          <w:bCs/>
        </w:rPr>
        <w:t xml:space="preserve"> Value Proposition</w:t>
      </w:r>
    </w:p>
    <w:p w14:paraId="751DBD84" w14:textId="77777777" w:rsidR="000B2AEB" w:rsidRPr="000B2AEB" w:rsidRDefault="000B2AEB" w:rsidP="000B2AEB">
      <w:r w:rsidRPr="000B2AEB">
        <w:t>The Trililiquary Inference System allows users to:</w:t>
      </w:r>
    </w:p>
    <w:p w14:paraId="10FC6193" w14:textId="77777777" w:rsidR="000B2AEB" w:rsidRPr="000B2AEB" w:rsidRDefault="000B2AEB" w:rsidP="000B2AEB">
      <w:pPr>
        <w:numPr>
          <w:ilvl w:val="0"/>
          <w:numId w:val="10"/>
        </w:numPr>
      </w:pPr>
      <w:r w:rsidRPr="000B2AEB">
        <w:t>Explore complex decision logic visually.</w:t>
      </w:r>
    </w:p>
    <w:p w14:paraId="3D37F82E" w14:textId="77777777" w:rsidR="000B2AEB" w:rsidRPr="000B2AEB" w:rsidRDefault="000B2AEB" w:rsidP="000B2AEB">
      <w:pPr>
        <w:numPr>
          <w:ilvl w:val="0"/>
          <w:numId w:val="10"/>
        </w:numPr>
      </w:pPr>
      <w:r w:rsidRPr="000B2AEB">
        <w:t>Construct weighted configurations in real-time.</w:t>
      </w:r>
    </w:p>
    <w:p w14:paraId="2738C3E5" w14:textId="77777777" w:rsidR="000B2AEB" w:rsidRPr="000B2AEB" w:rsidRDefault="000B2AEB" w:rsidP="000B2AEB">
      <w:pPr>
        <w:numPr>
          <w:ilvl w:val="0"/>
          <w:numId w:val="10"/>
        </w:numPr>
      </w:pPr>
      <w:r w:rsidRPr="000B2AEB">
        <w:t>Trigger emergent inference behavior based on deep pattern alignment.</w:t>
      </w:r>
    </w:p>
    <w:p w14:paraId="47BFF119" w14:textId="77777777" w:rsidR="000B2AEB" w:rsidRPr="000B2AEB" w:rsidRDefault="000B2AEB" w:rsidP="000B2AEB">
      <w:pPr>
        <w:numPr>
          <w:ilvl w:val="0"/>
          <w:numId w:val="10"/>
        </w:numPr>
      </w:pPr>
      <w:r w:rsidRPr="000B2AEB">
        <w:t>Create adaptive models for simulations, scenario planning, or behavior tuning — without predefined rule structures.</w:t>
      </w:r>
    </w:p>
    <w:p w14:paraId="29911BCF" w14:textId="77777777" w:rsidR="000B2AEB" w:rsidRPr="000B2AEB" w:rsidRDefault="000B2AEB" w:rsidP="000B2AEB">
      <w:r w:rsidRPr="000B2AEB">
        <w:pict w14:anchorId="76A5453F">
          <v:rect id="_x0000_i1094" style="width:0;height:1.5pt" o:hralign="center" o:hrstd="t" o:hr="t" fillcolor="#a0a0a0" stroked="f"/>
        </w:pict>
      </w:r>
    </w:p>
    <w:p w14:paraId="33B9E3ED" w14:textId="77777777" w:rsidR="0034533E" w:rsidRDefault="0034533E"/>
    <w:sectPr w:rsidR="00345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2167"/>
    <w:multiLevelType w:val="multilevel"/>
    <w:tmpl w:val="644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E3C36"/>
    <w:multiLevelType w:val="multilevel"/>
    <w:tmpl w:val="56A4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56D14"/>
    <w:multiLevelType w:val="multilevel"/>
    <w:tmpl w:val="BE76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06EE9"/>
    <w:multiLevelType w:val="multilevel"/>
    <w:tmpl w:val="5490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B3A3E"/>
    <w:multiLevelType w:val="multilevel"/>
    <w:tmpl w:val="5DB6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45948"/>
    <w:multiLevelType w:val="multilevel"/>
    <w:tmpl w:val="DE02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A1396"/>
    <w:multiLevelType w:val="multilevel"/>
    <w:tmpl w:val="4DD8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36B3E"/>
    <w:multiLevelType w:val="multilevel"/>
    <w:tmpl w:val="0D6A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2648F"/>
    <w:multiLevelType w:val="multilevel"/>
    <w:tmpl w:val="368E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015EA"/>
    <w:multiLevelType w:val="multilevel"/>
    <w:tmpl w:val="BF60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43007">
    <w:abstractNumId w:val="6"/>
  </w:num>
  <w:num w:numId="2" w16cid:durableId="1338077771">
    <w:abstractNumId w:val="1"/>
  </w:num>
  <w:num w:numId="3" w16cid:durableId="1039892156">
    <w:abstractNumId w:val="9"/>
  </w:num>
  <w:num w:numId="4" w16cid:durableId="911550419">
    <w:abstractNumId w:val="5"/>
  </w:num>
  <w:num w:numId="5" w16cid:durableId="1816219782">
    <w:abstractNumId w:val="0"/>
  </w:num>
  <w:num w:numId="6" w16cid:durableId="1430809227">
    <w:abstractNumId w:val="8"/>
  </w:num>
  <w:num w:numId="7" w16cid:durableId="519851968">
    <w:abstractNumId w:val="3"/>
  </w:num>
  <w:num w:numId="8" w16cid:durableId="1420441433">
    <w:abstractNumId w:val="7"/>
  </w:num>
  <w:num w:numId="9" w16cid:durableId="2061320196">
    <w:abstractNumId w:val="2"/>
  </w:num>
  <w:num w:numId="10" w16cid:durableId="1448810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AEB"/>
    <w:rsid w:val="0003591A"/>
    <w:rsid w:val="00091739"/>
    <w:rsid w:val="000B2AEB"/>
    <w:rsid w:val="00292055"/>
    <w:rsid w:val="0034533E"/>
    <w:rsid w:val="006C2645"/>
    <w:rsid w:val="00BD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31618"/>
  <w15:chartTrackingRefBased/>
  <w15:docId w15:val="{1DA9EE5D-6B48-43FB-B9FF-B8710F3F6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1</cp:revision>
  <dcterms:created xsi:type="dcterms:W3CDTF">2025-03-26T18:02:00Z</dcterms:created>
  <dcterms:modified xsi:type="dcterms:W3CDTF">2025-03-26T18:51:00Z</dcterms:modified>
</cp:coreProperties>
</file>