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Segoe UI Emoji" w:hAnsi="Segoe UI Emoji" w:cs="Segoe UI Emoji"/>
          <w:b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rPr>
          <w:rFonts w:ascii="Segoe UI Emoji" w:hAnsi="Segoe UI Emoji" w:cs="Segoe UI Emoji"/>
          <w:b/>
          <w:b/>
          <w:bCs/>
        </w:rPr>
      </w:pPr>
      <w:r>
        <w:rPr>
          <w:rFonts w:cs="Segoe UI Emoji" w:ascii="Segoe UI Emoji" w:hAnsi="Segoe UI Emoji"/>
          <w:b/>
          <w:bCs/>
        </w:rPr>
        <w:t>Output Manifold</w:t>
      </w:r>
    </w:p>
    <w:p>
      <w:pPr>
        <w:pStyle w:val="Normal"/>
        <w:rPr>
          <w:rFonts w:ascii="Segoe UI Emoji" w:hAnsi="Segoe UI Emoji" w:cs="Segoe UI Emoji"/>
          <w:b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7 Emergent Composition Roles (LLM Response Assembly Categories)</w:t>
      </w:r>
    </w:p>
    <w:tbl>
      <w:tblPr>
        <w:tblW w:w="936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96"/>
        <w:gridCol w:w="1195"/>
        <w:gridCol w:w="7969"/>
      </w:tblGrid>
      <w:tr>
        <w:trPr>
          <w:tblHeader w:val="true"/>
        </w:trPr>
        <w:tc>
          <w:tcPr>
            <w:tcW w:w="19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7969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9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1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Anchor</w:t>
            </w:r>
          </w:p>
        </w:tc>
        <w:tc>
          <w:tcPr>
            <w:tcW w:w="7969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The foundational concept — what everything else orbits. Often the “topic,” “thesis,” or the root of the user’s intent.</w:t>
            </w:r>
          </w:p>
        </w:tc>
      </w:tr>
      <w:tr>
        <w:trPr/>
        <w:tc>
          <w:tcPr>
            <w:tcW w:w="19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Frame</w:t>
            </w:r>
          </w:p>
        </w:tc>
        <w:tc>
          <w:tcPr>
            <w:tcW w:w="7969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Establishes the boundaries or lens — domain, tone, scope, or assumptions. Subtle but critical to coherence.</w:t>
            </w:r>
          </w:p>
        </w:tc>
      </w:tr>
      <w:tr>
        <w:trPr/>
        <w:tc>
          <w:tcPr>
            <w:tcW w:w="19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Clarifier</w:t>
            </w:r>
          </w:p>
        </w:tc>
        <w:tc>
          <w:tcPr>
            <w:tcW w:w="7969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Definitions, analogies, or reframings to ensure mutual understanding. Bridges abstraction and specificity.</w:t>
            </w:r>
          </w:p>
        </w:tc>
      </w:tr>
      <w:tr>
        <w:trPr/>
        <w:tc>
          <w:tcPr>
            <w:tcW w:w="19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4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Justifier</w:t>
            </w:r>
          </w:p>
        </w:tc>
        <w:tc>
          <w:tcPr>
            <w:tcW w:w="7969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Provides rationale, evidence, or logic for claims. This is the connective tissue of persuasion and coherence.</w:t>
            </w:r>
          </w:p>
        </w:tc>
      </w:tr>
      <w:tr>
        <w:trPr/>
        <w:tc>
          <w:tcPr>
            <w:tcW w:w="19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Investigator</w:t>
            </w:r>
          </w:p>
        </w:tc>
        <w:tc>
          <w:tcPr>
            <w:tcW w:w="7969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Expands or dives deeper into components. Breaks things down, shows inner structure.</w:t>
            </w:r>
          </w:p>
        </w:tc>
      </w:tr>
      <w:tr>
        <w:trPr/>
        <w:tc>
          <w:tcPr>
            <w:tcW w:w="19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6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Synthesizer</w:t>
            </w:r>
          </w:p>
        </w:tc>
        <w:tc>
          <w:tcPr>
            <w:tcW w:w="7969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Brings together threads, identifies patterns, or zooms out for systemic perspective.</w:t>
            </w:r>
          </w:p>
        </w:tc>
      </w:tr>
      <w:tr>
        <w:trPr/>
        <w:tc>
          <w:tcPr>
            <w:tcW w:w="19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7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Amplifier</w:t>
            </w:r>
          </w:p>
        </w:tc>
        <w:tc>
          <w:tcPr>
            <w:tcW w:w="7969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Adds emotional, aesthetic, or persuasive charge — style, tone, resonance, emphasis. Optional but powerful.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9b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9b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9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9b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9b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9b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9b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9b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9b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f39b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f39b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f39b0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f39b0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f39b0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f39b0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f39b0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f39b0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f39b0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ff39b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f39b0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f39b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f39b0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f3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9b0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FreeSans"/>
      <w:sz w:val="36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  <w:sz w:val="36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36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  <w:sz w:val="36"/>
    </w:rPr>
  </w:style>
  <w:style w:type="paragraph" w:styleId="Title">
    <w:name w:val="Title"/>
    <w:basedOn w:val="Normal"/>
    <w:next w:val="Normal"/>
    <w:link w:val="TitleChar"/>
    <w:uiPriority w:val="10"/>
    <w:qFormat/>
    <w:rsid w:val="00ff39b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9b0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9b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9b0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f39b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LibreOffice/7.4.7.2$Linux_AARCH64 LibreOffice_project/40$Build-2</Application>
  <AppVersion>15.0000</AppVersion>
  <Pages>1</Pages>
  <Words>124</Words>
  <Characters>774</Characters>
  <CharactersWithSpaces>876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2025-03-29T22:47:00Z</dcterms:created>
  <dc:creator>Not Important No</dc:creator>
  <dc:description/>
  <dc:language>en-US</dc:language>
  <cp:lastModifiedBy/>
  <dcterms:modified xsi:type="dcterms:W3CDTF">2025-08-04T02:59:56Z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