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D9" w:rsidRDefault="00694BD9" w:rsidP="00D36B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694BD9">
        <w:rPr>
          <w:rFonts w:ascii="Times New Roman" w:hAnsi="Times New Roman" w:cs="Times New Roman"/>
          <w:b/>
          <w:sz w:val="28"/>
          <w:szCs w:val="28"/>
        </w:rPr>
        <w:t>Зоны Френеля. Расчет амплитуды световой волны от волнового фронта с помощью зон Френеля.</w:t>
      </w:r>
    </w:p>
    <w:p w:rsidR="00694BD9" w:rsidRDefault="00694BD9" w:rsidP="00D36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4BD9" w:rsidRPr="00694BD9" w:rsidRDefault="00694BD9" w:rsidP="00D36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94BD9" w:rsidRPr="00694BD9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514D55"/>
    <w:rsid w:val="00694BD9"/>
    <w:rsid w:val="00A177FA"/>
    <w:rsid w:val="00A531C7"/>
    <w:rsid w:val="00B53C33"/>
    <w:rsid w:val="00BE5B76"/>
    <w:rsid w:val="00D36BA1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D6470-C8A2-45D8-860F-CEF4737E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3</cp:revision>
  <dcterms:created xsi:type="dcterms:W3CDTF">2016-06-14T09:25:00Z</dcterms:created>
  <dcterms:modified xsi:type="dcterms:W3CDTF">2016-06-14T09:33:00Z</dcterms:modified>
</cp:coreProperties>
</file>