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16" w:rsidRDefault="009E22B7" w:rsidP="009E22B7">
      <w:pPr>
        <w:pStyle w:val="Textbody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116739">
        <w:rPr>
          <w:rFonts w:ascii="Times New Roman" w:hAnsi="Times New Roman" w:cs="Times New Roman"/>
          <w:b/>
          <w:sz w:val="28"/>
          <w:szCs w:val="28"/>
        </w:rPr>
        <w:t>.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22B7">
        <w:rPr>
          <w:rFonts w:ascii="Times New Roman" w:hAnsi="Times New Roman" w:cs="Times New Roman"/>
          <w:b/>
          <w:sz w:val="28"/>
          <w:szCs w:val="28"/>
        </w:rPr>
        <w:t>Стоячие волны. Координаты пучностей и узлов стоячей волны. Отличие стоячих и бегущих волн.</w:t>
      </w:r>
      <w:r w:rsidR="00866B15">
        <w:t> </w:t>
      </w:r>
    </w:p>
    <w:p w:rsidR="009E22B7" w:rsidRDefault="00866B15" w:rsidP="009E22B7">
      <w:pPr>
        <w:pStyle w:val="Textbody"/>
        <w:jc w:val="both"/>
      </w:pPr>
      <w:r>
        <w:t xml:space="preserve">     Для характеристики переносимой волной энергии русским ученым Н.А. </w:t>
      </w:r>
      <w:r w:rsidR="009E22B7">
        <w:t xml:space="preserve">      Если в среде распространяется несколько волн, то колебания частиц среды оказываются геометрической суммой колебаний, которые совершали бы частицы при распространении каждой из волн в отдельности. </w:t>
      </w:r>
      <w:r w:rsidR="009E22B7">
        <w:rPr>
          <w:b/>
          <w:i/>
        </w:rPr>
        <w:t>Волны накладываются</w:t>
      </w:r>
      <w:r w:rsidR="009E22B7">
        <w:t xml:space="preserve"> </w:t>
      </w:r>
      <w:r w:rsidR="009E22B7">
        <w:rPr>
          <w:i/>
        </w:rPr>
        <w:t>друг на друга</w:t>
      </w:r>
      <w:r w:rsidR="009E22B7">
        <w:t xml:space="preserve">, </w:t>
      </w:r>
      <w:r w:rsidR="009E22B7">
        <w:rPr>
          <w:i/>
        </w:rPr>
        <w:t xml:space="preserve">не возмущая </w:t>
      </w:r>
      <w:r w:rsidR="009E22B7">
        <w:t>(</w:t>
      </w:r>
      <w:r w:rsidR="009E22B7">
        <w:rPr>
          <w:i/>
        </w:rPr>
        <w:t>не искажая друг друга</w:t>
      </w:r>
      <w:r w:rsidR="009E22B7">
        <w:t>)</w:t>
      </w:r>
      <w:r w:rsidR="009E22B7">
        <w:rPr>
          <w:i/>
        </w:rPr>
        <w:t xml:space="preserve">. Это и есть </w:t>
      </w:r>
      <w:r w:rsidR="009E22B7">
        <w:rPr>
          <w:b/>
          <w:i/>
        </w:rPr>
        <w:t>принцип суперпозиции волн.</w:t>
      </w:r>
    </w:p>
    <w:p w:rsidR="009E22B7" w:rsidRDefault="009E22B7" w:rsidP="009E22B7">
      <w:pPr>
        <w:pStyle w:val="Textbody"/>
        <w:jc w:val="both"/>
      </w:pPr>
      <w:r>
        <w:t>      </w:t>
      </w:r>
      <w:r>
        <w:rPr>
          <w:i/>
        </w:rPr>
        <w:t xml:space="preserve">Если две волны, приходящие в какую-либо точку пространства, обладают постоянной разностью фаз, такие волны называются </w:t>
      </w:r>
      <w:r>
        <w:rPr>
          <w:b/>
          <w:i/>
        </w:rPr>
        <w:t>когерентными.</w:t>
      </w:r>
      <w:r>
        <w:rPr>
          <w:i/>
        </w:rPr>
        <w:t xml:space="preserve"> При сложении когерентных волн возникает </w:t>
      </w:r>
      <w:r>
        <w:rPr>
          <w:b/>
          <w:i/>
        </w:rPr>
        <w:t>явление интерференции.</w:t>
      </w:r>
    </w:p>
    <w:p w:rsidR="009E22B7" w:rsidRDefault="009E22B7" w:rsidP="009E22B7">
      <w:pPr>
        <w:pStyle w:val="Textbody"/>
        <w:jc w:val="both"/>
      </w:pPr>
      <w:r>
        <w:t xml:space="preserve">      Очень важный случай интерференции наблюдается при наложении двух встречных плоских волн с одинаковой амплитудой. Возникающий в результате колебательный процесс называется </w:t>
      </w:r>
      <w:r>
        <w:rPr>
          <w:b/>
          <w:i/>
        </w:rPr>
        <w:t>стоячей волной</w:t>
      </w:r>
      <w:r>
        <w:rPr>
          <w:i/>
        </w:rPr>
        <w:t>.</w:t>
      </w:r>
      <w:r>
        <w:t xml:space="preserve"> Практически стоячие волны возникают при отражении от преград.</w:t>
      </w:r>
    </w:p>
    <w:p w:rsidR="009E22B7" w:rsidRDefault="009E22B7" w:rsidP="009E22B7">
      <w:pPr>
        <w:pStyle w:val="Textbody"/>
        <w:jc w:val="both"/>
      </w:pPr>
      <w:r>
        <w:t xml:space="preserve">      Напишем уравнения двух плоских волн, распространяющихся в противоположных направлениях (начальная фаза </w:t>
      </w:r>
      <w:r>
        <w:rPr>
          <w:noProof/>
          <w:lang w:eastAsia="ru-RU" w:bidi="ar-SA"/>
        </w:rPr>
        <w:drawing>
          <wp:inline distT="0" distB="0" distL="0" distR="0">
            <wp:extent cx="352440" cy="200160"/>
            <wp:effectExtent l="0" t="0" r="0" b="0"/>
            <wp:docPr id="114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4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):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539"/>
        <w:gridCol w:w="3376"/>
        <w:gridCol w:w="2244"/>
        <w:gridCol w:w="2386"/>
      </w:tblGrid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  <w:tc>
          <w:tcPr>
            <w:tcW w:w="30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247760" cy="485640"/>
                  <wp:effectExtent l="0" t="0" r="0" b="0"/>
                  <wp:docPr id="115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60" cy="4856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20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(5.5.1)</w:t>
            </w:r>
          </w:p>
        </w:tc>
        <w:tc>
          <w:tcPr>
            <w:tcW w:w="21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</w:tr>
    </w:tbl>
    <w:p w:rsidR="009E22B7" w:rsidRDefault="009E22B7" w:rsidP="009E22B7">
      <w:pPr>
        <w:pStyle w:val="Textbody"/>
        <w:jc w:val="center"/>
      </w:pPr>
      <w:r>
        <w:t>Сложим уравнения и преобразуем по формуле суммы косинусов (5.4.3):</w:t>
      </w:r>
    </w:p>
    <w:p w:rsidR="009E22B7" w:rsidRDefault="009E22B7" w:rsidP="009E22B7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05120" cy="428760"/>
            <wp:effectExtent l="0" t="0" r="0" b="0"/>
            <wp:docPr id="116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120" cy="4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9E22B7" w:rsidRDefault="009E22B7" w:rsidP="009E22B7">
      <w:pPr>
        <w:pStyle w:val="Textbody"/>
        <w:jc w:val="both"/>
      </w:pPr>
      <w:r>
        <w:t xml:space="preserve">      Т.к. </w:t>
      </w:r>
      <w:r>
        <w:rPr>
          <w:noProof/>
          <w:lang w:eastAsia="ru-RU" w:bidi="ar-SA"/>
        </w:rPr>
        <w:drawing>
          <wp:inline distT="0" distB="0" distL="0" distR="0">
            <wp:extent cx="1019159" cy="200160"/>
            <wp:effectExtent l="0" t="0" r="0" b="0"/>
            <wp:docPr id="117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59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 то можно записать:</w:t>
      </w:r>
    </w:p>
    <w:p w:rsidR="009E22B7" w:rsidRDefault="009E22B7" w:rsidP="009E22B7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362320" cy="200160"/>
            <wp:effectExtent l="0" t="0" r="0" b="0"/>
            <wp:docPr id="118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3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9E22B7" w:rsidRDefault="009E22B7" w:rsidP="009E22B7">
      <w:pPr>
        <w:pStyle w:val="Textbody"/>
        <w:jc w:val="both"/>
      </w:pPr>
      <w:r>
        <w:t xml:space="preserve">      Учитывая, что </w:t>
      </w:r>
      <w:r>
        <w:rPr>
          <w:noProof/>
          <w:lang w:eastAsia="ru-RU" w:bidi="ar-SA"/>
        </w:rPr>
        <w:drawing>
          <wp:inline distT="0" distB="0" distL="0" distR="0">
            <wp:extent cx="485640" cy="390600"/>
            <wp:effectExtent l="0" t="0" r="0" b="0"/>
            <wp:docPr id="119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 получим  </w:t>
      </w:r>
      <w:r>
        <w:rPr>
          <w:b/>
          <w:i/>
        </w:rPr>
        <w:t>уравнение стоячей волны</w:t>
      </w:r>
      <w:r>
        <w:t>:</w:t>
      </w:r>
    </w:p>
    <w:tbl>
      <w:tblPr>
        <w:tblW w:w="2374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936"/>
        <w:gridCol w:w="5921"/>
        <w:gridCol w:w="5921"/>
        <w:gridCol w:w="5966"/>
      </w:tblGrid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  <w:tc>
          <w:tcPr>
            <w:tcW w:w="5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AC6216">
            <w:pPr>
              <w:pStyle w:val="TableContents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476360" cy="428760"/>
                  <wp:effectExtent l="0" t="0" r="0" b="0"/>
                  <wp:docPr id="120" name="Изображение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60" cy="4287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(5.5.2)</w:t>
            </w:r>
          </w:p>
        </w:tc>
        <w:tc>
          <w:tcPr>
            <w:tcW w:w="5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</w:tr>
    </w:tbl>
    <w:p w:rsidR="009E22B7" w:rsidRDefault="009E22B7" w:rsidP="009E22B7">
      <w:pPr>
        <w:pStyle w:val="Textbody"/>
        <w:jc w:val="both"/>
      </w:pPr>
      <w:r>
        <w:t>      В выражении для фазы не входит координата, поэтому можно записать:</w:t>
      </w:r>
    </w:p>
    <w:tbl>
      <w:tblPr>
        <w:tblW w:w="2374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936"/>
        <w:gridCol w:w="5921"/>
        <w:gridCol w:w="5921"/>
        <w:gridCol w:w="5966"/>
      </w:tblGrid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  <w:tc>
          <w:tcPr>
            <w:tcW w:w="5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AC6216">
            <w:pPr>
              <w:pStyle w:val="TableContents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790559" cy="228600"/>
                  <wp:effectExtent l="0" t="0" r="0" b="0"/>
                  <wp:docPr id="121" name="Изображение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59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5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(5.5.3)</w:t>
            </w:r>
          </w:p>
        </w:tc>
        <w:tc>
          <w:tcPr>
            <w:tcW w:w="5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</w:tr>
    </w:tbl>
    <w:p w:rsidR="009E22B7" w:rsidRDefault="009E22B7" w:rsidP="009E22B7">
      <w:pPr>
        <w:pStyle w:val="Textbody"/>
        <w:jc w:val="both"/>
      </w:pPr>
      <w:r>
        <w:t xml:space="preserve">      где суммарная амплитуда </w:t>
      </w:r>
      <w:r>
        <w:rPr>
          <w:noProof/>
          <w:lang w:eastAsia="ru-RU" w:bidi="ar-SA"/>
        </w:rPr>
        <w:drawing>
          <wp:inline distT="0" distB="0" distL="0" distR="0">
            <wp:extent cx="1190520" cy="428760"/>
            <wp:effectExtent l="0" t="0" r="0" b="0"/>
            <wp:docPr id="122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520" cy="4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9E22B7" w:rsidRDefault="009E22B7" w:rsidP="009E22B7">
      <w:pPr>
        <w:pStyle w:val="Textbody"/>
        <w:jc w:val="both"/>
      </w:pPr>
      <w:r>
        <w:t>      </w:t>
      </w:r>
      <w:r>
        <w:rPr>
          <w:i/>
        </w:rPr>
        <w:t>В точках, где координаты удовлетворяют условию</w:t>
      </w:r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790559" cy="390600"/>
            <wp:effectExtent l="0" t="0" r="0" b="0"/>
            <wp:docPr id="123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59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    (</w:t>
      </w:r>
      <w:proofErr w:type="spellStart"/>
      <w:r>
        <w:rPr>
          <w:i/>
        </w:rPr>
        <w:t>n</w:t>
      </w:r>
      <w:proofErr w:type="spellEnd"/>
      <w:r>
        <w:t xml:space="preserve"> = 1, 2, 3, …), </w:t>
      </w:r>
      <w:r>
        <w:rPr>
          <w:noProof/>
          <w:lang w:eastAsia="ru-RU" w:bidi="ar-SA"/>
        </w:rPr>
        <w:drawing>
          <wp:inline distT="0" distB="0" distL="0" distR="0">
            <wp:extent cx="914400" cy="428760"/>
            <wp:effectExtent l="0" t="0" r="0" b="0"/>
            <wp:docPr id="124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суммарная амплитуда равна максимальному значению: </w:t>
      </w:r>
      <w:r>
        <w:rPr>
          <w:noProof/>
          <w:lang w:eastAsia="ru-RU" w:bidi="ar-SA"/>
        </w:rPr>
        <w:drawing>
          <wp:inline distT="0" distB="0" distL="0" distR="0">
            <wp:extent cx="542880" cy="190440"/>
            <wp:effectExtent l="0" t="0" r="0" b="0"/>
            <wp:docPr id="125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– это </w:t>
      </w:r>
      <w:r>
        <w:rPr>
          <w:b/>
          <w:i/>
        </w:rPr>
        <w:t>пучности</w:t>
      </w:r>
      <w:r>
        <w:t xml:space="preserve"> стоячей волны. </w:t>
      </w:r>
      <w:r>
        <w:rPr>
          <w:b/>
          <w:i/>
        </w:rPr>
        <w:t>Координаты пучностей</w:t>
      </w:r>
      <w:r>
        <w:t>:</w:t>
      </w:r>
    </w:p>
    <w:tbl>
      <w:tblPr>
        <w:tblW w:w="2374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936"/>
        <w:gridCol w:w="5921"/>
        <w:gridCol w:w="5921"/>
        <w:gridCol w:w="5966"/>
      </w:tblGrid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  <w:tc>
          <w:tcPr>
            <w:tcW w:w="5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AC6216">
            <w:pPr>
              <w:pStyle w:val="TableContents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905039" cy="237960"/>
                  <wp:effectExtent l="0" t="0" r="0" b="0"/>
                  <wp:docPr id="126" name="Изображение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39" cy="2379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9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(5.5.4)</w:t>
            </w:r>
          </w:p>
        </w:tc>
        <w:tc>
          <w:tcPr>
            <w:tcW w:w="59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</w:tr>
    </w:tbl>
    <w:p w:rsidR="009E22B7" w:rsidRPr="007602C5" w:rsidRDefault="009E22B7" w:rsidP="009E22B7">
      <w:pPr>
        <w:rPr>
          <w:vanish/>
        </w:rPr>
      </w:pPr>
    </w:p>
    <w:tbl>
      <w:tblPr>
        <w:tblW w:w="1766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816"/>
        <w:gridCol w:w="8846"/>
      </w:tblGrid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66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AC6216">
            <w:pPr>
              <w:pStyle w:val="TableContents"/>
              <w:jc w:val="center"/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5533920" cy="1200239"/>
                  <wp:effectExtent l="0" t="0" r="0" b="0"/>
                  <wp:docPr id="127" name="Изображение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20" cy="120023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81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  <w:jc w:val="center"/>
              <w:rPr>
                <w:i/>
              </w:rPr>
            </w:pPr>
            <w:r>
              <w:rPr>
                <w:i/>
              </w:rPr>
              <w:t>а</w:t>
            </w:r>
          </w:p>
        </w:tc>
        <w:tc>
          <w:tcPr>
            <w:tcW w:w="88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  <w:jc w:val="center"/>
              <w:rPr>
                <w:i/>
              </w:rPr>
            </w:pPr>
            <w:r>
              <w:rPr>
                <w:i/>
              </w:rPr>
              <w:t>б</w:t>
            </w:r>
          </w:p>
        </w:tc>
      </w:tr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66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  <w:jc w:val="center"/>
            </w:pPr>
            <w:r>
              <w:t>Рис. 5.5</w:t>
            </w:r>
          </w:p>
        </w:tc>
      </w:tr>
    </w:tbl>
    <w:p w:rsidR="009E22B7" w:rsidRDefault="009E22B7" w:rsidP="009E22B7">
      <w:pPr>
        <w:pStyle w:val="Textbody"/>
        <w:jc w:val="both"/>
      </w:pPr>
      <w:r>
        <w:t>      </w:t>
      </w:r>
      <w:r>
        <w:rPr>
          <w:b/>
          <w:i/>
        </w:rPr>
        <w:t>В точках, координаты которых удовлетворяют условию</w:t>
      </w:r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1133640" cy="390600"/>
            <wp:effectExtent l="0" t="0" r="0" b="0"/>
            <wp:docPr id="128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64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 (</w:t>
      </w:r>
      <w:proofErr w:type="spellStart"/>
      <w:r>
        <w:rPr>
          <w:i/>
        </w:rPr>
        <w:t>n</w:t>
      </w:r>
      <w:proofErr w:type="spellEnd"/>
      <w:r>
        <w:t xml:space="preserve"> = 0, 1, 2,…), </w:t>
      </w:r>
      <w:r>
        <w:rPr>
          <w:noProof/>
          <w:lang w:eastAsia="ru-RU" w:bidi="ar-SA"/>
        </w:rPr>
        <w:drawing>
          <wp:inline distT="0" distB="0" distL="0" distR="0">
            <wp:extent cx="866880" cy="428760"/>
            <wp:effectExtent l="0" t="0" r="0" b="0"/>
            <wp:docPr id="129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880" cy="4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суммарная амплитуда колебаний равна нулю </w:t>
      </w:r>
      <w:r>
        <w:rPr>
          <w:noProof/>
          <w:lang w:eastAsia="ru-RU" w:bidi="ar-SA"/>
        </w:rPr>
        <w:drawing>
          <wp:inline distT="0" distB="0" distL="0" distR="0">
            <wp:extent cx="428760" cy="257040"/>
            <wp:effectExtent l="0" t="0" r="0" b="0"/>
            <wp:docPr id="130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60" cy="257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– </w:t>
      </w:r>
      <w:r>
        <w:rPr>
          <w:i/>
        </w:rPr>
        <w:t xml:space="preserve">это </w:t>
      </w:r>
      <w:r>
        <w:rPr>
          <w:b/>
          <w:i/>
        </w:rPr>
        <w:t>узлы</w:t>
      </w:r>
      <w:r>
        <w:rPr>
          <w:i/>
        </w:rPr>
        <w:t xml:space="preserve"> стоячей волны</w:t>
      </w:r>
      <w:r>
        <w:t xml:space="preserve">. </w:t>
      </w:r>
      <w:r>
        <w:rPr>
          <w:b/>
          <w:i/>
        </w:rPr>
        <w:t>Координаты узлов:</w:t>
      </w:r>
    </w:p>
    <w:tbl>
      <w:tblPr>
        <w:tblW w:w="31680" w:type="dxa"/>
        <w:jc w:val="center"/>
        <w:tblCellMar>
          <w:left w:w="10" w:type="dxa"/>
          <w:right w:w="10" w:type="dxa"/>
        </w:tblCellMar>
        <w:tblLook w:val="04A0"/>
      </w:tblPr>
      <w:tblGrid>
        <w:gridCol w:w="1293"/>
        <w:gridCol w:w="20674"/>
        <w:gridCol w:w="8421"/>
        <w:gridCol w:w="1292"/>
      </w:tblGrid>
      <w:tr w:rsidR="009E22B7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104840" cy="428760"/>
                  <wp:effectExtent l="0" t="0" r="0" b="0"/>
                  <wp:docPr id="131" name="Изображение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40" cy="4287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(5.5.5)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E22B7" w:rsidRDefault="009E22B7" w:rsidP="00BF01B7">
            <w:pPr>
              <w:pStyle w:val="TableContents"/>
            </w:pPr>
            <w:r>
              <w:t> </w:t>
            </w:r>
          </w:p>
        </w:tc>
      </w:tr>
    </w:tbl>
    <w:p w:rsidR="009E22B7" w:rsidRDefault="009E22B7" w:rsidP="009E22B7">
      <w:pPr>
        <w:pStyle w:val="Textbody"/>
        <w:jc w:val="both"/>
      </w:pPr>
      <w:r>
        <w:t>      Точки среды, находящиеся в узлах, колебаний не совершают.</w:t>
      </w:r>
    </w:p>
    <w:p w:rsidR="009E22B7" w:rsidRDefault="009E22B7" w:rsidP="009E22B7">
      <w:pPr>
        <w:pStyle w:val="Textbody"/>
        <w:jc w:val="both"/>
      </w:pPr>
      <w:r>
        <w:t xml:space="preserve">      Образование стоячих волн наблюдают при интерференции бегущей и отраженных волн. На границе, где происходит отражение волны, получается пучность, если среда, от которой происходит отражение, менее плотная (рис. 5.5, </w:t>
      </w:r>
      <w:r>
        <w:rPr>
          <w:i/>
        </w:rPr>
        <w:t>а</w:t>
      </w:r>
      <w:r>
        <w:t xml:space="preserve">), и узел – если более плотная (рис. 5.5, </w:t>
      </w:r>
      <w:r>
        <w:rPr>
          <w:i/>
        </w:rPr>
        <w:t>б</w:t>
      </w:r>
      <w:r>
        <w:t>).</w:t>
      </w:r>
    </w:p>
    <w:p w:rsidR="009E22B7" w:rsidRDefault="009E22B7" w:rsidP="009E22B7">
      <w:pPr>
        <w:pStyle w:val="Textbody"/>
        <w:jc w:val="both"/>
      </w:pPr>
      <w:r>
        <w:t xml:space="preserve">      Если рассматривать </w:t>
      </w:r>
      <w:r>
        <w:rPr>
          <w:b/>
          <w:i/>
        </w:rPr>
        <w:t>бегущую волну</w:t>
      </w:r>
      <w:r>
        <w:t xml:space="preserve">, то в направлении ее распространения </w:t>
      </w:r>
      <w:r>
        <w:rPr>
          <w:i/>
        </w:rPr>
        <w:t>переносится энергия</w:t>
      </w:r>
      <w:r>
        <w:t xml:space="preserve"> колебательного движения. </w:t>
      </w:r>
      <w:r>
        <w:rPr>
          <w:b/>
          <w:i/>
        </w:rPr>
        <w:t xml:space="preserve">В случае </w:t>
      </w:r>
      <w:r>
        <w:t xml:space="preserve">же </w:t>
      </w:r>
      <w:r>
        <w:rPr>
          <w:b/>
          <w:i/>
        </w:rPr>
        <w:t>стоячей волны переноса энергии нет</w:t>
      </w:r>
      <w:r>
        <w:t>, т.к. падающая и отраженная волны одинаковой амплитуды несут одинаковую энергию в противоположных направлениях.</w:t>
      </w:r>
    </w:p>
    <w:p w:rsidR="009E22B7" w:rsidRDefault="009E22B7" w:rsidP="009E22B7">
      <w:pPr>
        <w:pStyle w:val="Standard"/>
      </w:pPr>
    </w:p>
    <w:p w:rsidR="00116739" w:rsidRPr="00116739" w:rsidRDefault="00116739" w:rsidP="009E22B7">
      <w:pPr>
        <w:rPr>
          <w:rFonts w:ascii="Times New Roman" w:hAnsi="Times New Roman" w:cs="Times New Roman"/>
        </w:rPr>
      </w:pPr>
    </w:p>
    <w:sectPr w:rsidR="00116739" w:rsidRPr="00116739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116739"/>
    <w:rsid w:val="003E2925"/>
    <w:rsid w:val="00514D55"/>
    <w:rsid w:val="00547B67"/>
    <w:rsid w:val="006417F5"/>
    <w:rsid w:val="00694BD9"/>
    <w:rsid w:val="00740AF9"/>
    <w:rsid w:val="00765760"/>
    <w:rsid w:val="00783637"/>
    <w:rsid w:val="00866B15"/>
    <w:rsid w:val="008F560F"/>
    <w:rsid w:val="0097499D"/>
    <w:rsid w:val="009E22B7"/>
    <w:rsid w:val="00A177FA"/>
    <w:rsid w:val="00A526D9"/>
    <w:rsid w:val="00A531C7"/>
    <w:rsid w:val="00AC6216"/>
    <w:rsid w:val="00B53C33"/>
    <w:rsid w:val="00B81787"/>
    <w:rsid w:val="00BE5B76"/>
    <w:rsid w:val="00C36028"/>
    <w:rsid w:val="00D36BA1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B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B81787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widowControl/>
      <w:suppressAutoHyphens w:val="0"/>
      <w:autoSpaceDN/>
      <w:textAlignment w:val="auto"/>
    </w:pPr>
    <w:rPr>
      <w:rFonts w:ascii="Tahoma" w:eastAsiaTheme="minorHAnsi" w:hAnsi="Tahoma" w:cs="Tahoma"/>
      <w:kern w:val="0"/>
      <w:sz w:val="16"/>
      <w:szCs w:val="16"/>
      <w:lang w:eastAsia="en-US" w:bidi="ar-SA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A526D9"/>
    <w:pPr>
      <w:spacing w:after="140" w:line="288" w:lineRule="auto"/>
    </w:pPr>
  </w:style>
  <w:style w:type="paragraph" w:customStyle="1" w:styleId="TableContents">
    <w:name w:val="Table Contents"/>
    <w:basedOn w:val="a"/>
    <w:rsid w:val="00A526D9"/>
    <w:pPr>
      <w:suppressLineNumbers/>
    </w:pPr>
  </w:style>
  <w:style w:type="paragraph" w:styleId="a7">
    <w:name w:val="List Paragraph"/>
    <w:basedOn w:val="a"/>
    <w:uiPriority w:val="34"/>
    <w:qFormat/>
    <w:rsid w:val="0011673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866B1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D1CDA-EA05-4BE1-99CB-E06DA536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2016-06-14T18:47:00Z</dcterms:created>
  <dcterms:modified xsi:type="dcterms:W3CDTF">2016-06-14T18:47:00Z</dcterms:modified>
</cp:coreProperties>
</file>