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8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11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18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ab/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количество элементов в текущей, обрабатываемой последовательности;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 w:eastAsia="zh-CN" w:bidi="hi-IN"/>
        </w:rPr>
        <w:t>максимальное количество элементов, для обработанных последовательностей, на данный момент.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очередное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предыдущее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Δv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- разница значений пе</w:t>
      </w:r>
      <w:r>
        <w:rPr>
          <w:lang w:val="ru-RU" w:eastAsia="zh-CN" w:bidi="hi-IN"/>
        </w:rPr>
        <w:t>р</w:t>
      </w:r>
      <w:r>
        <w:rPr>
          <w:lang w:val="ru-RU" w:eastAsia="zh-CN" w:bidi="hi-IN"/>
        </w:rPr>
        <w:t>в</w:t>
      </w:r>
      <w:r>
        <w:rPr>
          <w:lang w:val="ru-RU" w:eastAsia="zh-CN" w:bidi="hi-IN"/>
        </w:rPr>
        <w:t>о</w:t>
      </w:r>
      <w:r>
        <w:rPr>
          <w:lang w:val="ru-RU" w:eastAsia="zh-CN" w:bidi="hi-IN"/>
        </w:rPr>
        <w:t xml:space="preserve">го и последнего элемента максимальной, подходящей, на данный момент, последовательности,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Δi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- разница индексов пе</w:t>
      </w:r>
      <w:r>
        <w:rPr>
          <w:lang w:val="ru-RU" w:eastAsia="zh-CN" w:bidi="hi-IN"/>
        </w:rPr>
        <w:t>р</w:t>
      </w:r>
      <w:r>
        <w:rPr>
          <w:lang w:val="ru-RU" w:eastAsia="zh-CN" w:bidi="hi-IN"/>
        </w:rPr>
        <w:t>в</w:t>
      </w:r>
      <w:r>
        <w:rPr>
          <w:lang w:val="ru-RU" w:eastAsia="zh-CN" w:bidi="hi-IN"/>
        </w:rPr>
        <w:t>о</w:t>
      </w:r>
      <w:r>
        <w:rPr>
          <w:lang w:val="ru-RU" w:eastAsia="zh-CN" w:bidi="hi-IN"/>
        </w:rPr>
        <w:t xml:space="preserve">го и последнего элемента максимальной, подходящей, на данный момент, последовательности,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fCS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 xml:space="preserve">индекс поступившего элемента; </w:t>
      </w:r>
      <w:r>
        <w:rPr>
          <w:lang w:val="en-US"/>
        </w:rPr>
        <w:t>(</w:t>
      </w:r>
      <w:r>
        <w:rPr>
          <w:lang w:val="ru-RU"/>
        </w:rPr>
        <w:t>Равен 0, т. к. это итератор)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элемент выходной последовательности, представлен набором из трех элементов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fRi</m:t>
            </m:r>
          </m:e>
        </m:d>
      </m:oMath>
      <w:r>
        <w:rPr>
          <w:lang w:val="en-US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Отклик вычислителя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определим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∀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lx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 xml:space="preserve">Имея набор базовых условий, можно сформировать предикаты. Так же, для переменных, которые претерпевают изменения, приведены правила пересчёта. Если переменная не пересчитывается, то правило пересчёта </w:t>
      </w:r>
      <w:r>
        <w:rPr>
          <w:b/>
          <w:bCs/>
          <w:lang w:val="ru-RU"/>
        </w:rPr>
        <w:t>не приводится</w:t>
      </w:r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  <w:tab/>
        <w:t xml:space="preserve">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 соответствует случаю, когда программа находится на первой итерации.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и текущее, поступившее значение меньше предыдущего.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если итерация не является первой, поступившее значение больше предыдущего, и кол-во элементов в текущей последовательности больше, чем в предыдущей, максимально достигнутой вычислителем.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в случае, если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</w:t>
      </w:r>
      <w:r>
        <w:rPr/>
        <w:t>ш</w:t>
      </w:r>
      <w:r>
        <w:rPr/>
        <w:t xml:space="preserve">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меньше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текущее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</w:t>
      </w:r>
      <w:r>
        <w:rPr/>
        <w:t>ш</w:t>
      </w:r>
      <w:r>
        <w:rPr/>
        <w:t xml:space="preserve">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больше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spacing w:lineRule="auto" w:line="360"/>
        <w:jc w:val="both"/>
        <w:rPr/>
      </w:pPr>
      <w:r>
        <w:rPr/>
        <w:tab/>
        <w:t>Привед</w:t>
      </w:r>
      <w:r>
        <w:rPr/>
        <w:t>ё</w:t>
      </w:r>
      <w:r>
        <w:rPr/>
        <w:t xml:space="preserve">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spacing w:lineRule="auto" w:line="360"/>
        <w:jc w:val="both"/>
        <w:rPr/>
      </w:pPr>
      <w:r>
        <w:rPr>
          <w:lang w:val="ru-RU"/>
        </w:rPr>
        <w:tab/>
        <w:t>В ходе выполнения программы, значение сч</w:t>
      </w:r>
      <w:r>
        <w:rPr>
          <w:lang w:val="ru-RU"/>
        </w:rPr>
        <w:t>ё</w:t>
      </w:r>
      <w:r>
        <w:rPr>
          <w:lang w:val="ru-RU"/>
        </w:rPr>
        <w:t xml:space="preserve">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, соответственно работа сч</w:t>
      </w:r>
      <w:r>
        <w:rPr>
          <w:lang w:val="ru-RU"/>
        </w:rPr>
        <w:t>ё</w:t>
      </w:r>
      <w:r>
        <w:rPr>
          <w:lang w:val="ru-RU"/>
        </w:rPr>
        <w:t xml:space="preserve">тчика будет считаться </w:t>
      </w:r>
      <w:r>
        <w:rPr/>
        <w:t>индуктивным расширением.</w:t>
      </w:r>
    </w:p>
    <w:p>
      <w:pPr>
        <w:pStyle w:val="BodyText"/>
        <w:spacing w:lineRule="auto" w:line="360"/>
        <w:jc w:val="both"/>
        <w:rPr/>
      </w:pPr>
      <w:r>
        <w:rPr/>
        <w:tab/>
        <w:t>Условия, используемые в правиле пересч</w:t>
      </w:r>
      <w:r>
        <w:rPr/>
        <w:t>ё</w:t>
      </w:r>
      <w:r>
        <w:rPr/>
        <w:t xml:space="preserve">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24</w:t>
    </w:r>
    <w:r>
      <w:rPr/>
      <w:fldChar w:fldCharType="end"/>
    </w:r>
    <w:bookmarkEnd w:id="2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Application>LibreOffice/24.2.3.2$Windows_X86_64 LibreOffice_project/433d9c2ded56988e8a90e6b2e771ee4e6a5ab2ba</Application>
  <AppVersion>15.0000</AppVersion>
  <Pages>24</Pages>
  <Words>2335</Words>
  <Characters>17493</Characters>
  <CharactersWithSpaces>21169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2024-06-25T00:00:50Z</cp:lastPrinted>
  <dcterms:modified xsi:type="dcterms:W3CDTF">2024-06-25T00:01:04Z</dcterms:modified>
  <cp:revision>669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