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_empty.xml" ContentType="application/vnd.openxmlformats-officedocument.wordprocessingml.header+xml"/>
  <Override PartName="/word/footer_empty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bookmarkStart w:id="1" w:name="709fd47f-469a-4bed-9daf-d19fe9fd3f9a"/>
    <w:bookmarkEnd w:id="1"/>
    <w:p>
      <w:pPr>
        <w:bidi w:val="off"/>
        <w:spacing w:before="160" w:after="160" w:line="276" w:lineRule="auto"/>
        <w:ind w:left="0" w:firstLine="0"/>
        <w:jc w:val="center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</w:p>
    <w:p>
      <w:pPr>
        <w:bidi w:val="off"/>
        <w:spacing w:before="160" w:after="160" w:line="276" w:lineRule="auto"/>
        <w:ind w:left="0" w:firstLine="0"/>
        <w:jc w:val="center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drawing>
          <wp:inline>
            <wp:extent cx="2438400" cy="2371725"/>
            <wp:effectExtent l="28575" t="28575" r="28575" b="28575"/>
            <wp:docPr id="1" name="drex_index_custo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ex_index_custo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ext cx="24384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off"/>
        <w:spacing w:before="160" w:after="160" w:line="276" w:lineRule="auto"/>
        <w:ind w:left="0" w:firstLine="0"/>
        <w:jc w:val="center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</w:p>
    <w:p>
      <w:pPr>
        <w:bidi w:val="off"/>
        <w:spacing w:before="0" w:after="320" w:line="276" w:lineRule="auto"/>
        <w:ind w:left="0" w:firstLine="0"/>
        <w:jc w:val="center"/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АС "ТВ" 1.0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pict>
          <v:rect o:hr="true" o:hrstd="true" stroked="false" o:hrnoshade="true" o:hralign="center" fillcolor="#808080" style="width:50%;height:1px;" o:hrpct="500"/>
        </w:pict>
      </w:r>
    </w:p>
    <w:p>
      <w:pPr>
        <w:bidi w:val="off"/>
        <w:spacing w:before="160" w:after="160" w:line="276" w:lineRule="auto"/>
        <w:ind w:left="0" w:firstLine="0"/>
        <w:jc w:val="center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Руководство пользователя</w:t>
      </w:r>
    </w:p>
    <w:p>
      <w:pPr>
        <w:bidi w:val="off"/>
        <w:spacing w:before="160" w:after="160" w:line="276" w:lineRule="auto"/>
        <w:ind w:left="0" w:firstLine="0"/>
        <w:jc w:val="center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2026</w:t>
      </w:r>
    </w:p>
    <w:p>
      <w:pPr>
        <w:bidi w:val="off"/>
        <w:spacing w:before="160" w:after="160" w:line="276" w:lineRule="auto"/>
        <w:ind w:left="0" w:firstLine="0"/>
        <w:jc w:val="center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</w:p>
    <w:tbl>
      <w:tblPr>
        <w:tblStyle w:val="Table1"/>
        <w:tblW w:w="5000" w:type="pct"/>
        <w:jc w:val="center"/>
        <w:tblInd w:w="0" w:type="dxa"/>
        <w:tblLayout w:type="autofit"/>
      </w:tblPr>
      <w:tblGrid>
        <w:gridCol w:w="750"/>
        <w:gridCol w:w="8310"/>
      </w:tblGrid>
      <w:tr>
        <w:trPr>
          <w:trHeight w:val="75" w:hRule="exact"/>
        </w:trPr>
        <w:tc>
          <w:tcPr>
            <w:tcW w:w="0" w:type="auto"/>
            <w:gridSpan w:val="2"/>
          </w:tcPr>
          <w:p/>
        </w:tc>
      </w:tr>
      <w:tr>
        <w:trPr>
          <w:trHeight w:val="0" w:hRule="atLeast"/>
        </w:trPr>
        <w:tc>
          <w:tcPr>
            <w:tcW w:w="750" w:type="dxa"/>
            <w:tcBorders>
              <w:top w:val="single" w:color="BCE8F1" w:sz="6"/>
              <w:left w:val="single" w:color="BCE8F1" w:sz="6"/>
              <w:bottom w:val="single" w:color="BCE8F1" w:sz="6"/>
            </w:tcBorders>
            <w:shd w:val="solid" w:color="D9EDF7"/>
            <w:tcMar>
              <w:top w:w="75" w:type="dxa"/>
              <w:left w:w="150" w:type="dxa"/>
              <w:bottom w:w="75" w:type="dxa"/>
              <w:right w:w="0" w:type="dxa"/>
            </w:tcMar>
            <w:vAlign w:val="top"/>
          </w:tcPr>
          <w:p>
            <w:r>
              <w:drawing>
                <wp:inline>
                  <wp:extent cx="285750" cy="228600"/>
                  <wp:effectExtent l="0" t="95250" r="95250" b="95250"/>
                  <wp:docPr id="2" name="textbox_icon_circle-info_24_985912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xtbox_icon_circle-info_24_985912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ext cx="28575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BCE8F1" w:sz="6"/>
              <w:bottom w:val="single" w:color="BCE8F1" w:sz="6"/>
              <w:right w:val="single" w:color="BCE8F1" w:sz="6"/>
            </w:tcBorders>
            <w:shd w:val="solid" w:color="D9EDF7"/>
            <w:tcMar>
              <w:top w:w="75" w:type="dxa"/>
              <w:left w:w="0" w:type="dxa"/>
              <w:bottom w:w="75" w:type="dxa"/>
              <w:right w:w="150" w:type="dxa"/>
            </w:tcMar>
            <w:vAlign w:val="top"/>
          </w:tcPr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Segoe UI" w:hAnsi="Segoe UI" w:cs="Segoe UI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Segoe UI" w:hAnsi="Segoe UI" w:cs="Segoe UI"/>
                <w:b w:val="on"/>
                <w:bCs w:val="on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Спасибо за выбор Dr.Explain!</w:t>
            </w:r>
          </w:p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Данный шаблон руководства пользователя ПО предоставляется в качестве примера и призван облегчить начало работы по созданию пользовательской документации к вашему продукту в программе Dr.Explain. </w:t>
            </w:r>
          </w:p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Структура и содержание разделов не являются строго обязательными и вы можете свободно модифицировать их под специфику вашего программного продукта.</w:t>
            </w:r>
          </w:p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</w:pPr>
            <w:r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Мы будем рады ответить на любые ваши вопросы и предложения.</w:t>
              <w:br/>
              <w:t xml:space="preserve">Пожалуйста </w:t>
            </w:r>
            <w:hyperlink r:id="rId10">
              <w:r>
                <w:rPr>
                  <w:rFonts w:ascii="Segoe UI" w:hAnsi="Segoe UI" w:cs="Segoe UI"/>
                  <w:b w:val="off"/>
                  <w:bCs w:val="off"/>
                  <w:i w:val="off"/>
                  <w:iCs w:val="off"/>
                  <w:color w:val="0000FF"/>
                  <w:sz w:val="24"/>
                  <w:szCs w:val="24"/>
                  <w:u w:val="single"/>
                </w:rPr>
                <w:t xml:space="preserve">свяжитесь с нами</w:t>
              </w:r>
            </w:hyperlink>
            <w:r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4"/>
                <w:szCs w:val="24"/>
                <w:u w:val="none"/>
              </w:rPr>
              <w:t xml:space="preserve"> любым удобным способом.</w:t>
            </w:r>
          </w:p>
        </w:tc>
      </w:tr>
      <w:tr>
        <w:trPr>
          <w:trHeight w:val="75" w:hRule="exact"/>
        </w:trPr>
        <w:tc>
          <w:tcPr>
            <w:tcW w:w="0" w:type="auto"/>
            <w:gridSpan w:val="2"/>
          </w:tcPr>
          <w:p/>
        </w:tc>
      </w:tr>
    </w:tbl>
    <w:p>
      <w:pPr>
        <w:sectPr>
          <w:headerReference r:id="rId6" w:type="default"/>
          <w:footerReference r:id="rId7" w:type="default"/>
        </w:sectPr>
      </w:pPr>
      <w:r>
        <w:br w:type="page"/>
      </w:r>
    </w:p>
    <w:bookmarkStart w:id="2" w:name="9b29ec0f-3962-4256-b8fa-a5ce2034ce17"/>
    <w:bookmarkEnd w:id="2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Оглавление</w:t>
      </w:r>
    </w:p>
    <w:p>
      <w:pPr>
        <w:bidi w:val="off"/>
        <w:spacing w:before="0" w:after="0" w:line="276" w:lineRule="auto"/>
        <w:ind w:left="0" w:firstLine="0"/>
      </w:pPr>
      <w:r>
        <w:fldChar w:fldCharType="begin"/>
        <w:instrText>TOC \f 9b29ec0f-3962-4256-b8fa-a5ce2034ce17-c7b21981-963f-403e-b6ee-574c74d20f63 \h \z</w:instrText>
        <w:fldChar w:fldCharType="separate"/>
      </w:r>
      <w:hyperlink w:anchor="612f9fcb-8b55-44f3-aad3-fcb6c9681fdf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Обзор возможностей программы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612f9fcb-8b55-44f3-aad3-fcb6c9681fdf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300" w:firstLine="0"/>
      </w:pPr>
      <w:hyperlink w:anchor="8e5d6ef0-157f-434b-8d52-ded4384028a7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История версий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8e5d6ef0-157f-434b-8d52-ded4384028a7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300" w:firstLine="0"/>
      </w:pPr>
      <w:hyperlink w:anchor="a9eb003e-8704-4d8f-8d92-8f59944ba6d6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Системные требования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a9eb003e-8704-4d8f-8d92-8f59944ba6d6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0" w:firstLine="0"/>
      </w:pPr>
      <w:hyperlink w:anchor="ab96d26a-4eb9-4ac1-98cf-d6e442d25193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Начало работы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ab96d26a-4eb9-4ac1-98cf-d6e442d25193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300" w:firstLine="0"/>
      </w:pPr>
      <w:hyperlink w:anchor="20c6f299-df6b-4f12-92e5-16234f6e36b6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Основные понятия и термины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20c6f299-df6b-4f12-92e5-16234f6e36b6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300" w:firstLine="0"/>
      </w:pPr>
      <w:hyperlink w:anchor="b0dde258-42e3-452f-9de8-b50fd4d8b559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Установка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b0dde258-42e3-452f-9de8-b50fd4d8b559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300" w:firstLine="0"/>
      </w:pPr>
      <w:hyperlink w:anchor="64557d0c-460b-4d70-876e-add0a18db150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Настройка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64557d0c-460b-4d70-876e-add0a18db150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300" w:firstLine="0"/>
      </w:pPr>
      <w:hyperlink w:anchor="6f4657b6-96e8-4552-838a-c028cd2bb415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Запуск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6f4657b6-96e8-4552-838a-c028cd2bb415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0" w:firstLine="0"/>
      </w:pPr>
      <w:hyperlink w:anchor="af0eed4e-72d4-4bbb-ad52-925accc8b65b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Пользовательский интерфейс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af0eed4e-72d4-4bbb-ad52-925accc8b65b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300" w:firstLine="0"/>
      </w:pPr>
      <w:hyperlink w:anchor="c29333a7-69ab-4193-bb17-ef7621b693b4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Главное окно программы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c29333a7-69ab-4193-bb17-ef7621b693b4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300" w:firstLine="0"/>
      </w:pPr>
      <w:hyperlink w:anchor="abafc921-6640-4b33-973a-383e6d99d9cd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Работа с первой задачей
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abafc921-6640-4b33-973a-383e6d99d9cd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600" w:firstLine="0"/>
      </w:pPr>
      <w:hyperlink w:anchor="a4d8843c-cd72-42a5-9263-6ea68f3695d7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Добавление чисел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a4d8843c-cd72-42a5-9263-6ea68f3695d7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600" w:firstLine="0"/>
      </w:pPr>
      <w:hyperlink w:anchor="e4c16131-6c7b-4cc2-a7ab-7403e8646700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Удаление введенных данных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e4c16131-6c7b-4cc2-a7ab-7403e8646700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300" w:firstLine="0"/>
      </w:pPr>
      <w:hyperlink w:anchor="a4c9f7e1-6c55-4328-a2d2-449d057f2e00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Горячие клавиши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a4c9f7e1-6c55-4328-a2d2-449d057f2e00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0" w:firstLine="0"/>
      </w:pPr>
      <w:hyperlink w:anchor="bf7f8105-df31-4c90-a64d-a4f17af39ad6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Устранение типовых проблем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bf7f8105-df31-4c90-a64d-a4f17af39ad6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0" w:firstLine="0"/>
      </w:pPr>
      <w:hyperlink w:anchor="ca5e662e-0718-4e68-afee-3348e06d0dab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Частые вопросы (FAQ)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ca5e662e-0718-4e68-afee-3348e06d0dab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0" w:firstLine="0"/>
      </w:pPr>
      <w:hyperlink w:anchor="15233c93-e0eb-4321-9627-3a0b47d22506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Лицензия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15233c93-e0eb-4321-9627-3a0b47d22506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300" w:firstLine="0"/>
      </w:pPr>
      <w:hyperlink w:anchor="c5889300-e4b0-43e9-8d3f-325036c1b9b1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Виды лицензий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c5889300-e4b0-43e9-8d3f-325036c1b9b1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300" w:firstLine="0"/>
      </w:pPr>
      <w:hyperlink w:anchor="6a61fdeb-c876-4f5a-a2d2-dd526e947669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Приобретение лицензий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6a61fdeb-c876-4f5a-a2d2-dd526e947669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300" w:firstLine="0"/>
      </w:pPr>
      <w:hyperlink w:anchor="0343637b-d224-4986-a470-e45222a3137f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Лицензионное соглашение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0343637b-d224-4986-a470-e45222a3137f \h</w:instrText>
          <w:fldChar w:fldCharType="separate"/>
          <w:t>NN</w:t>
          <w:fldChar w:fldCharType="end"/>
        </w:r>
      </w:hyperlink>
    </w:p>
    <w:p>
      <w:pPr>
        <w:bidi w:val="off"/>
        <w:spacing w:before="0" w:after="0" w:line="276" w:lineRule="auto"/>
        <w:ind w:left="0" w:firstLine="0"/>
      </w:pPr>
      <w:hyperlink w:anchor="7f77a01d-3465-466f-ba5d-ec49887442b5">
        <w:r>
          <w:rPr>
            <w:rFonts w:ascii="Segoe UI" w:hAnsi="Segoe UI" w:cs="Segoe UI"/>
            <w:b w:val="off"/>
            <w:bCs w:val="off"/>
            <w:i w:val="off"/>
            <w:iCs w:val="off"/>
            <w:color w:val="000000"/>
            <w:sz w:val="24"/>
            <w:szCs w:val="24"/>
            <w:u w:val="none"/>
          </w:rPr>
          <w:t xml:space="preserve">Контактная информация</w:t>
        </w:r>
        <w:r>
          <w:rPr>
            <w:rFonts w:ascii="Segoe UI" w:hAnsi="Segoe UI" w:cs="Segoe UI"/>
            <w:b w:val="off"/>
            <w:bCs w:val="off"/>
            <w:i w:val="off"/>
            <w:iCs w:val="off"/>
            <w:webHidden/>
            <w:color w:val="000000"/>
            <w:sz w:val="24"/>
            <w:szCs w:val="24"/>
            <w:u w:val="none"/>
          </w:rPr>
          <w:ptab w:relativeTo="indent" w:alignment="right" w:leader="dot"/>
          <w:fldChar w:fldCharType="begin"/>
          <w:instrText>PAGEREF 7f77a01d-3465-466f-ba5d-ec49887442b5 \h</w:instrText>
          <w:fldChar w:fldCharType="separate"/>
          <w:t>NN</w:t>
          <w:fldChar w:fldCharType="end"/>
        </w:r>
      </w:hyperlink>
      <w:r>
        <w:fldChar w:fldCharType="end"/>
      </w:r>
      <w:r>
        <w:br w:type="page"/>
      </w:r>
    </w:p>
    <w:bookmarkStart w:id="3" w:name="612f9fcb-8b55-44f3-aad3-fcb6c9681fdf"/>
    <w:bookmarkEnd w:id="3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Обзор возможностей программы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Программа «АС «ТВ»» – это автоматизированная система для решения задач теории вероятностей, представляющая собой вычислительный инструмент, в котором пользователь вводит исходные данные, выбирает тип задачи, а затем получает числовой результат и текстовое пояснение. Место действия программы – графический интерфейс с набором окон, каждое из которых соответствует определённому разделу дисциплины. Исходные данные могут быть целочисленными (количество исходов, число испытаний), вещественными (вероятности, параметры распределений) или табличными (ряды распределения). Результат расчёта отображается в виде числа с заданной точностью и сопровождается пошаговым пояснением применённой формулы.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АС «ТВ» предназначена для:</w:t>
      </w:r>
    </w:p>
    <w:p>
      <w:pPr>
        <w:bidi w:val="off"/>
        <w:spacing w:before="160" w:after="160" w:line="276" w:lineRule="auto"/>
        <w:ind w:left="27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1. Автоматизации расчётов по основным разделам вузовской программы теории вероятностей.</w:t>
      </w:r>
    </w:p>
    <w:p>
      <w:pPr>
        <w:bidi w:val="off"/>
        <w:spacing w:before="160" w:after="160" w:line="276" w:lineRule="auto"/>
        <w:ind w:left="27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2. Минимизации вычислительных ошибок, связанных с человеческим фактором (округление, факториалы, интегралы).</w:t>
      </w:r>
    </w:p>
    <w:p>
      <w:pPr>
        <w:bidi w:val="off"/>
        <w:spacing w:before="160" w:after="160" w:line="276" w:lineRule="auto"/>
        <w:ind w:left="27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3. Обучающей поддержки – демонстрации формул и подстановки значений для понимания хода решения.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Типовые задачи, решаемые с помощью АС «ТВ»:</w:t>
      </w:r>
    </w:p>
    <w:p>
      <w:pPr>
        <w:bidi w:val="off"/>
        <w:spacing w:before="160" w:after="160" w:line="276" w:lineRule="auto"/>
        <w:ind w:left="27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1. Расчёт классической вероятности как отношения числа благоприятных исходов к общему числу исходов, включая комбинаторные вычисления (сочетания, размещения).</w:t>
      </w:r>
    </w:p>
    <w:p>
      <w:pPr>
        <w:bidi w:val="off"/>
        <w:spacing w:before="160" w:after="160" w:line="276" w:lineRule="auto"/>
        <w:ind w:left="27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2. Применение теорем сложения и умножения вероятностей для совместных и несовместных событий, а также формулы полной вероятности и теоремы Байеса (переоценка гипотез).</w:t>
      </w:r>
    </w:p>
    <w:p>
      <w:pPr>
        <w:bidi w:val="off"/>
        <w:spacing w:before="160" w:after="160" w:line="276" w:lineRule="auto"/>
        <w:ind w:left="27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3. Моделирование серий независимых испытаний по схеме Бернулли: вычисление вероятности заданного числа успехов, определение наивероятнейшего числа успехов.</w:t>
      </w:r>
    </w:p>
    <w:p>
      <w:pPr>
        <w:bidi w:val="off"/>
        <w:spacing w:before="160" w:after="160" w:line="276" w:lineRule="auto"/>
        <w:ind w:left="27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4. Построение рядов распределения, расчёт математического ожидания, дисперсии и среднеквадратического отклонения для дискретных случайных величин.</w:t>
      </w:r>
    </w:p>
    <w:p>
      <w:pPr>
        <w:bidi w:val="off"/>
        <w:spacing w:before="160" w:after="160" w:line="276" w:lineRule="auto"/>
        <w:ind w:left="27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5. Вычисление вероятности попадания непрерывной случайной величины в заданный интервал на основе плотности распределения (численное интегрирование).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br w:type="page"/>
      </w:r>
    </w:p>
    <w:bookmarkStart w:id="4" w:name="8e5d6ef0-157f-434b-8d52-ded4384028a7"/>
    <w:bookmarkEnd w:id="4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История версий</w:t>
      </w:r>
    </w:p>
    <w:p>
      <w:pPr>
        <w:bidi w:val="off"/>
        <w:spacing w:before="400" w:after="160" w:line="276" w:lineRule="auto"/>
        <w:ind w:left="0" w:firstLine="0"/>
        <w:jc w:val="left"/>
        <w:rPr>
          <w:rFonts w:ascii="Segoe UI" w:hAnsi="Segoe UI" w:cs="Segoe UI"/>
          <w:b w:val="on"/>
          <w:bCs w:val="on"/>
          <w:i w:val="off"/>
          <w:iCs w:val="off"/>
          <w:color w:val="000000"/>
          <w:sz w:val="28"/>
          <w:szCs w:val="28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8"/>
          <w:szCs w:val="28"/>
          <w:u w:val="none"/>
        </w:rPr>
        <w:t xml:space="preserve">АС "ТВ" версия 1.0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br w:type="page"/>
      </w:r>
    </w:p>
    <w:bookmarkStart w:id="5" w:name="a9eb003e-8704-4d8f-8d92-8f59944ba6d6"/>
    <w:bookmarkEnd w:id="5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Системные требования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Для стабильной и эффективной работы АС "ТВ" рекомендуется использовать следующую конфигурацию: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Частота процессора (CPU)</w:t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:</w:t>
      </w: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ntel/AMD или аналог с тактовой частотой от 1.8 ГГц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Количество ядер процессора (CPU):</w:t>
      </w: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2 ядра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Объем оперативной памяти (RAM):</w:t>
      </w: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не менее 2 ГБ свободного объема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Объем свободного места на диске (HDD):</w:t>
      </w: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500 МБ свободного пространства для хранения исполняемого модуля и сопутствующих текстовых отчетов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Операционная система (OS):</w:t>
      </w: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</w:t>
      </w: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Microsoft Windows 10/11 (32 или 64-bit)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Браузер:</w:t>
      </w: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Google Chrome, Mozilla Firefox, Microsoft Edge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br w:type="page"/>
      </w:r>
    </w:p>
    <w:bookmarkStart w:id="6" w:name="ab96d26a-4eb9-4ac1-98cf-d6e442d25193"/>
    <w:bookmarkEnd w:id="6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Начало работы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Данный раздел поможет вам быстро установить, настроить и начать работать с АС "ТВ".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Перед началом работы, пожалуйста, ознакомьтесь с </w:t>
      </w:r>
      <w:hyperlink w:anchor="a9eb003e-8704-4d8f-8d92-8f59944ba6d6">
        <w:r>
          <w:rPr>
            <w:rFonts w:ascii="Segoe UI" w:hAnsi="Segoe UI" w:cs="Segoe UI"/>
            <w:b w:val="off"/>
            <w:bCs w:val="off"/>
            <w:i w:val="off"/>
            <w:iCs w:val="off"/>
            <w:color w:val="0000FF"/>
            <w:sz w:val="24"/>
            <w:szCs w:val="24"/>
            <w:u w:val="single"/>
          </w:rPr>
          <w:t xml:space="preserve">системными требованиями</w:t>
        </w:r>
      </w:hyperlink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и </w:t>
      </w:r>
      <w:hyperlink w:anchor="0343637b-d224-4986-a470-e45222a3137f">
        <w:r>
          <w:rPr>
            <w:rFonts w:ascii="Segoe UI" w:hAnsi="Segoe UI" w:cs="Segoe UI"/>
            <w:b w:val="off"/>
            <w:bCs w:val="off"/>
            <w:i w:val="off"/>
            <w:iCs w:val="off"/>
            <w:color w:val="0000FF"/>
            <w:sz w:val="24"/>
            <w:szCs w:val="24"/>
            <w:u w:val="single"/>
          </w:rPr>
          <w:t xml:space="preserve">лицензионным соглашением</w:t>
        </w:r>
      </w:hyperlink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.</w:t>
      </w:r>
      <w:r>
        <w:br w:type="page"/>
      </w:r>
    </w:p>
    <w:bookmarkStart w:id="7" w:name="20c6f299-df6b-4f12-92e5-16234f6e36b6"/>
    <w:bookmarkEnd w:id="7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Основные понятия и термины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Перед началом работы в АС "ТВ" рекомендуем ознакомиться с основными понятиями и терминами: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n"/>
          <w:bCs w:val="on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n"/>
          <w:bCs w:val="on"/>
          <w:i w:val="off"/>
          <w:iCs w:val="off"/>
          <w:color w:val="000000"/>
          <w:sz w:val="28"/>
          <w:szCs w:val="28"/>
          <w:u w:val="none"/>
        </w:rPr>
        <w:t xml:space="preserve">Вероятность события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Числовая характеристика, выражающая меру возможности наступления случайного события. Принимает значения от 0 (невозможное событие) до 1 (достоверное событие). В программе вычисляется по формулам классической вероятности, теорем сложения/умножения и др.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n"/>
          <w:bCs w:val="on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n"/>
          <w:bCs w:val="on"/>
          <w:i w:val="off"/>
          <w:iCs w:val="off"/>
          <w:color w:val="000000"/>
          <w:sz w:val="28"/>
          <w:szCs w:val="28"/>
          <w:u w:val="none"/>
        </w:rPr>
        <w:t xml:space="preserve">Классическая вероятность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Вероятность события, определяемая как отношение числа благоприятных исходов </w:t>
      </w:r>
      <w:r>
        <w:rPr>
          <w:rFonts w:ascii="Menlo" w:hAnsi="Menlo" w:cs="Menlo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m</w:t>
      </w: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 к общему числу всех возможных исходов </w:t>
      </w:r>
      <w:r>
        <w:rPr>
          <w:rFonts w:ascii="Menlo" w:hAnsi="Menlo" w:cs="Menlo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n</w:t>
      </w: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: </w:t>
      </w:r>
      <w:r>
        <w:rPr>
          <w:rFonts w:ascii="Menlo" w:hAnsi="Menlo" w:cs="Menlo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P = m/n</w:t>
      </w: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. Применяется для экспериментов с равновозможными исходами (например, бросание кубика, извлечение карты).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n"/>
          <w:bCs w:val="on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n"/>
          <w:bCs w:val="on"/>
          <w:i w:val="off"/>
          <w:iCs w:val="off"/>
          <w:color w:val="000000"/>
          <w:sz w:val="28"/>
          <w:szCs w:val="28"/>
          <w:u w:val="none"/>
        </w:rPr>
        <w:t xml:space="preserve">Благоприятный исход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Исход, при котором наступает интересующее нас событие. Например, при бросании кубика для события «выпало чётное число» благоприятными исходами будут 2, 4, 6.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n"/>
          <w:bCs w:val="on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n"/>
          <w:bCs w:val="on"/>
          <w:i w:val="off"/>
          <w:iCs w:val="off"/>
          <w:color w:val="000000"/>
          <w:sz w:val="28"/>
          <w:szCs w:val="28"/>
          <w:u w:val="none"/>
        </w:rPr>
        <w:t xml:space="preserve">Точность вычислений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Количество знаков после запятой, до которого округляется результат. Настраивается пользователем (например, 2, 4, 6 знаков). Важно для работы с иррациональными числами и длинными десятичными дробями.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n"/>
          <w:bCs w:val="on"/>
          <w:i w:val="off"/>
          <w:iCs w:val="off"/>
          <w:color w:val="0F1115"/>
          <w:sz w:val="28"/>
          <w:szCs w:val="28"/>
          <w:u w:val="none"/>
        </w:rPr>
      </w:pPr>
      <w:r>
        <w:rPr>
          <w:rFonts w:ascii="quote-cjk-patch" w:hAnsi="quote-cjk-patch" w:cs="quote-cjk-patch"/>
          <w:b w:val="on"/>
          <w:bCs w:val="on"/>
          <w:i w:val="off"/>
          <w:iCs w:val="off"/>
          <w:color w:val="0F1115"/>
          <w:sz w:val="28"/>
          <w:szCs w:val="28"/>
          <w:u w:val="none"/>
        </w:rPr>
        <w:t xml:space="preserve">Формула полной вероятности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F1115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Формула для вычисления вероятности события </w:t>
      </w:r>
      <w:r>
        <w:rPr>
          <w:rFonts w:ascii="Menlo" w:hAnsi="Menlo" w:cs="Menlo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A</w:t>
      </w:r>
      <w:r>
        <w:rPr>
          <w:rFonts w:ascii="quote-cjk-patch" w:hAnsi="quote-cjk-patch" w:cs="quote-cjk-patch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, которое может наступить только при реализации одной из гипотез </w:t>
      </w:r>
      <w:r>
        <w:rPr>
          <w:rFonts w:ascii="Menlo" w:hAnsi="Menlo" w:cs="Menlo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H1, H2, …, Hn</w:t>
      </w:r>
      <w:r>
        <w:rPr>
          <w:rFonts w:ascii="quote-cjk-patch" w:hAnsi="quote-cjk-patch" w:cs="quote-cjk-patch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, образующих полную группу: </w:t>
      </w:r>
      <w:r>
        <w:rPr>
          <w:rFonts w:ascii="Menlo" w:hAnsi="Menlo" w:cs="Menlo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P(A) = Σ P(Hi) × P(A|Hi)</w:t>
      </w:r>
      <w:r>
        <w:rPr>
          <w:rFonts w:ascii="quote-cjk-patch" w:hAnsi="quote-cjk-patch" w:cs="quote-cjk-patch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.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n"/>
          <w:bCs w:val="on"/>
          <w:i w:val="off"/>
          <w:iCs w:val="off"/>
          <w:color w:val="0F1115"/>
          <w:sz w:val="28"/>
          <w:szCs w:val="28"/>
          <w:u w:val="none"/>
        </w:rPr>
      </w:pPr>
      <w:r>
        <w:rPr>
          <w:rFonts w:ascii="quote-cjk-patch" w:hAnsi="quote-cjk-patch" w:cs="quote-cjk-patch"/>
          <w:b w:val="on"/>
          <w:bCs w:val="on"/>
          <w:i w:val="off"/>
          <w:iCs w:val="off"/>
          <w:color w:val="0F1115"/>
          <w:sz w:val="28"/>
          <w:szCs w:val="28"/>
          <w:u w:val="none"/>
        </w:rPr>
        <w:t xml:space="preserve">Число сочетаний </w:t>
      </w:r>
      <w:r>
        <w:rPr>
          <w:rFonts w:ascii="Menlo" w:hAnsi="Menlo" w:cs="Menlo"/>
          <w:b w:val="on"/>
          <w:bCs w:val="on"/>
          <w:i w:val="off"/>
          <w:iCs w:val="off"/>
          <w:color w:val="0F1115"/>
          <w:sz w:val="28"/>
          <w:szCs w:val="28"/>
          <w:u w:val="none"/>
        </w:rPr>
        <w:t xml:space="preserve">C(n,k)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F1115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Количество способов выбрать </w:t>
      </w:r>
      <w:r>
        <w:rPr>
          <w:rFonts w:ascii="Menlo" w:hAnsi="Menlo" w:cs="Menlo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k</w:t>
      </w:r>
      <w:r>
        <w:rPr>
          <w:rFonts w:ascii="quote-cjk-patch" w:hAnsi="quote-cjk-patch" w:cs="quote-cjk-patch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 элементов из </w:t>
      </w:r>
      <w:r>
        <w:rPr>
          <w:rFonts w:ascii="Menlo" w:hAnsi="Menlo" w:cs="Menlo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n</w:t>
      </w:r>
      <w:r>
        <w:rPr>
          <w:rFonts w:ascii="quote-cjk-patch" w:hAnsi="quote-cjk-patch" w:cs="quote-cjk-patch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 без учёта порядка. Вычисляется по формуле: </w:t>
      </w:r>
      <w:r>
        <w:rPr>
          <w:rFonts w:ascii="Menlo" w:hAnsi="Menlo" w:cs="Menlo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C(n,k) = n! / (k! × (n−k)!)</w:t>
      </w:r>
      <w:r>
        <w:rPr>
          <w:rFonts w:ascii="quote-cjk-patch" w:hAnsi="quote-cjk-patch" w:cs="quote-cjk-patch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. Используется в схеме Бернулли и комбинаторных задачах.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n"/>
          <w:bCs w:val="on"/>
          <w:i w:val="off"/>
          <w:iCs w:val="off"/>
          <w:color w:val="0F1115"/>
          <w:sz w:val="28"/>
          <w:szCs w:val="28"/>
          <w:u w:val="none"/>
        </w:rPr>
      </w:pPr>
      <w:r>
        <w:rPr>
          <w:rFonts w:ascii="quote-cjk-patch" w:hAnsi="quote-cjk-patch" w:cs="quote-cjk-patch"/>
          <w:b w:val="on"/>
          <w:bCs w:val="on"/>
          <w:i w:val="off"/>
          <w:iCs w:val="off"/>
          <w:color w:val="0F1115"/>
          <w:sz w:val="28"/>
          <w:szCs w:val="28"/>
          <w:u w:val="none"/>
        </w:rPr>
        <w:t xml:space="preserve">Наивероятнейшее число успехов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F1115"/>
          <w:sz w:val="28"/>
          <w:szCs w:val="28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Число успехов </w:t>
      </w:r>
      <w:r>
        <w:rPr>
          <w:rFonts w:ascii="Menlo" w:hAnsi="Menlo" w:cs="Menlo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k₀</w:t>
      </w:r>
      <w:r>
        <w:rPr>
          <w:rFonts w:ascii="quote-cjk-patch" w:hAnsi="quote-cjk-patch" w:cs="quote-cjk-patch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 в схеме Бернулли, имеющее максимальную вероятность. Находится из неравенства: </w:t>
      </w:r>
      <w:r>
        <w:rPr>
          <w:rFonts w:ascii="Menlo" w:hAnsi="Menlo" w:cs="Menlo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n·p − q ≤ k₀ ≤ n·p + p</w:t>
      </w:r>
      <w:r>
        <w:rPr>
          <w:rFonts w:ascii="quote-cjk-patch" w:hAnsi="quote-cjk-patch" w:cs="quote-cjk-patch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.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br w:type="page"/>
      </w:r>
    </w:p>
    <w:bookmarkStart w:id="8" w:name="b0dde258-42e3-452f-9de8-b50fd4d8b559"/>
    <w:bookmarkEnd w:id="8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Установка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Для установки АС "ТВ", пожалуйста, загрузите дистрибутива последней версии 1.0, доступный по адресу </w:t>
      </w:r>
      <w:hyperlink r:id="rId11">
        <w:r>
          <w:rPr>
            <w:rFonts w:ascii="Segoe UI" w:hAnsi="Segoe UI" w:cs="Segoe UI"/>
            <w:b w:val="off"/>
            <w:bCs w:val="off"/>
            <w:i w:val="off"/>
            <w:iCs w:val="off"/>
            <w:color w:val="0000FF"/>
            <w:sz w:val="24"/>
            <w:szCs w:val="24"/>
            <w:u w:val="single"/>
          </w:rPr>
          <w:t xml:space="preserve">https://github.com/Anatidaef0b/Coursework-Rostavletov</w:t>
        </w:r>
      </w:hyperlink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Перед установкой ознакомьтесь с </w:t>
      </w:r>
      <w:hyperlink w:anchor="a9eb003e-8704-4d8f-8d92-8f59944ba6d6">
        <w:r>
          <w:rPr>
            <w:rFonts w:ascii="Segoe UI" w:hAnsi="Segoe UI" w:cs="Segoe UI"/>
            <w:b w:val="off"/>
            <w:bCs w:val="off"/>
            <w:i w:val="off"/>
            <w:iCs w:val="off"/>
            <w:color w:val="0000FF"/>
            <w:sz w:val="24"/>
            <w:szCs w:val="24"/>
            <w:u w:val="single"/>
          </w:rPr>
          <w:t xml:space="preserve">системными требованиями</w:t>
        </w:r>
      </w:hyperlink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и </w:t>
      </w:r>
      <w:hyperlink w:anchor="0343637b-d224-4986-a470-e45222a3137f">
        <w:r>
          <w:rPr>
            <w:rFonts w:ascii="Segoe UI" w:hAnsi="Segoe UI" w:cs="Segoe UI"/>
            <w:b w:val="off"/>
            <w:bCs w:val="off"/>
            <w:i w:val="off"/>
            <w:iCs w:val="off"/>
            <w:color w:val="0000FF"/>
            <w:sz w:val="24"/>
            <w:szCs w:val="24"/>
            <w:u w:val="single"/>
          </w:rPr>
          <w:t xml:space="preserve">лицензионным соглашением</w:t>
        </w:r>
      </w:hyperlink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.</w:t>
      </w:r>
      <w:r>
        <w:br w:type="page"/>
      </w:r>
    </w:p>
    <w:bookmarkStart w:id="9" w:name="64557d0c-460b-4d70-876e-add0a18db150"/>
    <w:bookmarkEnd w:id="9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Настройка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Для начала работы в АС "ТВ" рекомендуем предварительно выполнить следующие настройки окружения:</w:t>
      </w:r>
    </w:p>
    <w:p>
      <w:pPr>
        <w:bidi w:val="off"/>
        <w:spacing w:before="160" w:after="160" w:line="276" w:lineRule="auto"/>
        <w:ind w:left="270" w:firstLine="0"/>
        <w:jc w:val="left"/>
        <w:rPr>
          <w:rFonts w:ascii="quote-cjk-patch" w:hAnsi="quote-cjk-patch" w:cs="quote-cjk-patch"/>
          <w:b w:val="off"/>
          <w:bCs w:val="off"/>
          <w:i w:val="off"/>
          <w:iCs w:val="off"/>
          <w:color w:val="0F1115"/>
          <w:sz w:val="24"/>
          <w:szCs w:val="24"/>
          <w:u w:val="none"/>
        </w:rPr>
      </w:pPr>
      <w:r>
        <w:rPr>
          <w:rFonts w:ascii="quote-cjk-patch" w:hAnsi="quote-cjk-patch" w:cs="quote-cjk-patch"/>
          <w:b w:val="off"/>
          <w:bCs w:val="off"/>
          <w:i w:val="off"/>
          <w:iCs w:val="off"/>
          <w:color w:val="0F1115"/>
          <w:sz w:val="24"/>
          <w:szCs w:val="24"/>
          <w:u w:val="none"/>
        </w:rPr>
        <w:t xml:space="preserve">1</w:t>
      </w:r>
      <w:r>
        <w:rPr>
          <w:rFonts w:ascii="Segoe UI" w:hAnsi="Segoe UI" w:cs="Segoe UI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. Откройте настройки и выберите, сколько цифр после запятой показывать в ответах. Например, 2 или 4. Это нужно, чтобы результат не был слишком длинным.</w:t>
      </w:r>
    </w:p>
    <w:p>
      <w:pPr>
        <w:bidi w:val="off"/>
        <w:spacing w:before="160" w:after="160" w:line="276" w:lineRule="auto"/>
        <w:ind w:left="27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F1115"/>
          <w:sz w:val="28"/>
          <w:szCs w:val="28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2. Запустите программу как обычно – двойным щелчком по иконке. Никаких дополнительных прав или сложных действий не требуется.</w:t>
      </w:r>
    </w:p>
    <w:p>
      <w:pPr>
        <w:bidi w:val="off"/>
        <w:spacing w:before="160" w:after="160" w:line="276" w:lineRule="auto"/>
        <w:ind w:left="27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F1115"/>
          <w:sz w:val="28"/>
          <w:szCs w:val="28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F1115"/>
          <w:sz w:val="28"/>
          <w:szCs w:val="28"/>
          <w:u w:val="none"/>
        </w:rPr>
        <w:t xml:space="preserve">3.Экран должен быть не меньше 1024×768 пикселей  – иначе кнопки могут быть не видны</w:t>
      </w:r>
      <w:r>
        <w:br w:type="page"/>
      </w:r>
    </w:p>
    <w:bookmarkStart w:id="10" w:name="6f4657b6-96e8-4552-838a-c028cd2bb415"/>
    <w:bookmarkEnd w:id="10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Запуск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Для запуска АС "ТВ" </w:t>
      </w:r>
      <w:r>
        <w:rPr>
          <w:rFonts w:ascii="Segoe UI" w:hAnsi="Segoe UI" w:cs="Segoe UI"/>
          <w:b w:val="off"/>
          <w:bCs w:val="off"/>
          <w:i w:val="off"/>
          <w:iCs w:val="off"/>
          <w:color w:val="0F1115"/>
          <w:sz w:val="24"/>
          <w:szCs w:val="24"/>
          <w:u w:val="none"/>
        </w:rPr>
        <w:t xml:space="preserve">Для запуска АС «ТВ» нажмите на ярлык программы «АС_ТВ» в меню Пуск либо наберите в командной строке «AS_TV.exe» (если вы находитесь в папке с программой).</w:t>
      </w:r>
      <w:r>
        <w:br w:type="page"/>
      </w:r>
    </w:p>
    <w:bookmarkStart w:id="11" w:name="af0eed4e-72d4-4bbb-ad52-925accc8b65b"/>
    <w:bookmarkEnd w:id="11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Пользовательский интерфейс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Этот раздел описывает основные элементы пользовательского интерфейса АС "ТВ" 1.0: 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Главное окно представляет собой стартовую форму (Form1) с габаритными размерами 800х600 пикселей. В центральной части окна расположен блок переключателей типа RadioButton (от radioButton1 до radioButton6), предназначенный для выбора одного из шести разделов теории вероятностей. В нижней части формы находятся управляющие кнопки для перехода к вычислениям и закрытия программы.</w:t>
      </w:r>
      <w:r>
        <w:br w:type="page"/>
      </w:r>
    </w:p>
    <w:bookmarkStart w:id="12" w:name="c29333a7-69ab-4193-bb17-ef7621b693b4"/>
    <w:bookmarkEnd w:id="12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Главное окно программы</w:t>
      </w:r>
    </w:p>
    <w:p>
      <w:pPr>
        <w:bidi w:val="off"/>
        <w:spacing w:before="160" w:after="160" w:line="276" w:lineRule="auto"/>
        <w:ind w:left="0" w:firstLine="0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Главное окно является главным интерфейсом для выбора задач. Оно позволяет пользователю выбрать только одну задачу из предложенных. После выбора задачи пользователь нажимает соответствующую кнопку для перехода к решению выбранной задачи.</w:t>
      </w:r>
    </w:p>
    <w:p>
      <w:pPr>
        <w:bidi w:val="off"/>
        <w:spacing w:before="160" w:after="160" w:line="276" w:lineRule="auto"/>
        <w:ind w:left="0" w:firstLine="0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r>
    </w:p>
    <w:p>
      <w:pPr>
        <w:bidi w:val="off"/>
        <w:spacing w:before="160" w:after="160" w:line="276" w:lineRule="auto"/>
        <w:ind w:left="0" w:firstLine="0"/>
        <w:jc w:val="center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drawing>
          <wp:inline>
            <wp:extent cx="2705100" cy="2971800"/>
            <wp:effectExtent l="0" t="0" r="0" b="0"/>
            <wp:docPr id="3" name="drex_module_4_1_custo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ex_module_4_1_cust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ext cx="27051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off"/>
        <w:spacing w:before="160" w:after="160" w:line="276" w:lineRule="auto"/>
        <w:ind w:left="0" w:firstLine="0"/>
        <w:jc w:val="center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</w:p>
    <w:p>
      <w:pPr>
        <w:bidi w:val="off"/>
        <w:spacing w:before="160" w:after="160" w:line="276" w:lineRule="auto"/>
        <w:ind w:left="0" w:firstLine="0"/>
        <w:jc w:val="center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br w:type="page"/>
      </w:r>
    </w:p>
    <w:bookmarkStart w:id="13" w:name="abafc921-6640-4b33-973a-383e6d99d9cd"/>
    <w:bookmarkEnd w:id="13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Работа с первой задачей</w:t>
        <w:br/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Данный раздел описывает работу с первой задачей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 частности, рассматриваются операции:</w:t>
      </w:r>
    </w:p>
    <w:p>
      <w:pPr>
        <w:bidi w:val="off"/>
        <w:spacing w:before="0" w:after="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Решить-операция при которой задача выполняет вычислительные функции и вписывает результат в окно ответа</w:t>
      </w:r>
    </w:p>
    <w:p>
      <w:pPr>
        <w:bidi w:val="off"/>
        <w:spacing w:before="0" w:after="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Сброс-операция при которой стираются все введенные данные</w:t>
      </w:r>
    </w:p>
    <w:p>
      <w:pPr>
        <w:bidi w:val="off"/>
        <w:spacing w:before="0" w:after="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Назад-операция при которой происходит переход на главную форму приложения</w:t>
      </w:r>
    </w:p>
    <w:p>
      <w:pPr>
        <w:bidi w:val="off"/>
        <w:spacing w:before="0" w:after="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Остальные задачи выполнены по этому примеру.</w:t>
      </w:r>
      <w:r>
        <w:br w:type="page"/>
      </w:r>
    </w:p>
    <w:bookmarkStart w:id="14" w:name="a4d8843c-cd72-42a5-9263-6ea68f3695d7"/>
    <w:bookmarkEnd w:id="14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Добавление чисел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Для того, чтобы добавить необходимо вписать числовые данные в окна m,n.</w:t>
      </w:r>
      <w:r>
        <w:br w:type="page"/>
      </w:r>
    </w:p>
    <w:bookmarkStart w:id="15" w:name="e4c16131-6c7b-4cc2-a7ab-7403e8646700"/>
    <w:bookmarkEnd w:id="15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Удаление введенных данных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Для того, чтобы удалить все введенные данные необходимо нажать кнопку "Сброс" .</w:t>
      </w:r>
      <w:r>
        <w:br w:type="page"/>
      </w:r>
    </w:p>
    <w:bookmarkStart w:id="16" w:name="a4c9f7e1-6c55-4328-a2d2-449d057f2e00"/>
    <w:bookmarkEnd w:id="16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Горячие клавиши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Следующий раздел содержит все сочетания клавиш и способы управления при помощи мыши, поддерживаемые АС "ТВ".</w:t>
      </w:r>
    </w:p>
    <w:p>
      <w:pPr>
        <w:bidi w:val="off"/>
        <w:spacing w:before="160" w:after="160" w:line="276" w:lineRule="auto"/>
        <w:ind w:left="0" w:firstLine="55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 Backspace - удаляет символ, находящийся перед курсором.</w:t>
      </w:r>
    </w:p>
    <w:p>
      <w:pPr>
        <w:bidi w:val="off"/>
        <w:spacing w:before="160" w:after="160" w:line="276" w:lineRule="auto"/>
        <w:ind w:left="600" w:firstLine="0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Delete - удаляет символ, следующий за курсором.</w:t>
      </w:r>
    </w:p>
    <w:p>
      <w:pPr>
        <w:bidi w:val="off"/>
        <w:spacing w:before="160" w:after="160" w:line="276" w:lineRule="auto"/>
        <w:ind w:left="600" w:firstLine="0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Home - переводит курсор в начало строки;</w:t>
      </w:r>
    </w:p>
    <w:p>
      <w:pPr>
        <w:bidi w:val="off"/>
        <w:spacing w:before="160" w:after="160" w:line="276" w:lineRule="auto"/>
        <w:ind w:left="600" w:firstLine="0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End - переводит курсор в конец строки;</w:t>
      </w:r>
    </w:p>
    <w:p>
      <w:pPr>
        <w:bidi w:val="off"/>
        <w:spacing w:before="160" w:after="160" w:line="276" w:lineRule="auto"/>
        <w:ind w:left="600" w:firstLine="0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Left arrow - перемещает курсор влево;</w:t>
      </w:r>
    </w:p>
    <w:p>
      <w:pPr>
        <w:bidi w:val="off"/>
        <w:spacing w:before="160" w:after="160" w:line="276" w:lineRule="auto"/>
        <w:ind w:left="600" w:firstLine="0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Right arrow - перемещает курсор вправо;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br w:type="page"/>
      </w:r>
    </w:p>
    <w:bookmarkStart w:id="17" w:name="bf7f8105-df31-4c90-a64d-a4f17af39ad6"/>
    <w:bookmarkEnd w:id="17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Устранение типовых проблем</w:t>
      </w:r>
    </w:p>
    <w:tbl>
      <w:tblPr>
        <w:tblStyle w:val="Table1"/>
        <w:tblW w:w="5000" w:type="pct"/>
        <w:jc w:val="left"/>
        <w:tblInd w:w="0" w:type="dxa"/>
        <w:tblLayout w:type="autofit"/>
      </w:tblPr>
      <w:tblGrid>
        <w:gridCol w:w="150"/>
        <w:gridCol w:w="8910"/>
      </w:tblGrid>
      <w:tr>
        <w:trPr>
          <w:trHeight w:val="75" w:hRule="exact"/>
        </w:trPr>
        <w:tc>
          <w:tcPr>
            <w:tcW w:w="0" w:type="auto"/>
            <w:gridSpan w:val="2"/>
          </w:tcPr>
          <w:p/>
        </w:tc>
      </w:tr>
      <w:tr>
        <w:trPr>
          <w:trHeight w:val="0" w:hRule="atLeast"/>
        </w:trPr>
        <w:tc>
          <w:tcPr>
            <w:tcW w:w="0" w:type="dxa"/>
            <w:tcBorders>
              <w:top w:val="single" w:color="E6E6E6" w:sz="6"/>
              <w:left w:val="single" w:color="E6E6E6" w:sz="6"/>
              <w:bottom w:val="single" w:color="E6E6E6" w:sz="6"/>
            </w:tcBorders>
            <w:tcMar>
              <w:top w:w="75" w:type="dxa"/>
              <w:left w:w="150" w:type="dxa"/>
              <w:bottom w:w="75" w:type="dxa"/>
              <w:right w:w="0" w:type="dxa"/>
            </w:tcMar>
            <w:vAlign w:val="top"/>
          </w:tcPr>
          <w:p/>
        </w:tc>
        <w:tc>
          <w:tcPr>
            <w:tcW w:w="0" w:type="auto"/>
            <w:tcBorders>
              <w:top w:val="single" w:color="E6E6E6" w:sz="6"/>
              <w:bottom w:val="single" w:color="E6E6E6" w:sz="6"/>
              <w:right w:val="single" w:color="E6E6E6" w:sz="6"/>
            </w:tcBorders>
            <w:tcMar>
              <w:top w:w="75" w:type="dxa"/>
              <w:left w:w="0" w:type="dxa"/>
              <w:bottom w:w="75" w:type="dxa"/>
              <w:right w:w="150" w:type="dxa"/>
            </w:tcMar>
            <w:vAlign w:val="top"/>
          </w:tcPr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Segoe UI" w:hAnsi="Segoe UI" w:cs="Segoe UI"/>
                <w:b w:val="on"/>
                <w:bCs w:val="on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Segoe UI" w:hAnsi="Segoe UI" w:cs="Segoe UI"/>
                <w:b w:val="on"/>
                <w:bCs w:val="on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Описание проблемы</w:t>
            </w:r>
            <w:r>
              <w:rPr>
                <w:rFonts w:ascii="quote-cjk-patch" w:hAnsi="quote-cjk-patch" w:cs="quote-cjk-patch"/>
                <w:b w:val="on"/>
                <w:bCs w:val="on"/>
                <w:i w:val="off"/>
                <w:iCs w:val="off"/>
                <w:color w:val="000000"/>
                <w:sz w:val="30"/>
                <w:szCs w:val="30"/>
                <w:u w:val="none"/>
              </w:rPr>
              <w:t xml:space="preserve"> при нажатии кнопки «Вычислить» программа выдаёт ошибку «Введите целые числа», хотя я ввожу цифры.</w:t>
            </w:r>
          </w:p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Решение: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Убедитесь, что при вводе чисел вы не используете разделитель тысяч (пробелы, запятые, точки) и не оставляете лишних символов. Программа ожидает только целые числа в десятичной записи, например: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10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,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25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,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100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. Также проверьте, что поле не пустое и не содержит букв или знаков препинания (кроме знака минус, если требуется ввод отрицательных чисел, но в большинстве задач теории вероятностей исходы не могут быть отрицательными). Если вы случайно скопировали число с пробелом, удалите его и введите значение вручную.</w:t>
            </w:r>
          </w:p>
        </w:tc>
      </w:tr>
      <w:tr>
        <w:trPr>
          <w:trHeight w:val="75" w:hRule="exact"/>
        </w:trPr>
        <w:tc>
          <w:tcPr>
            <w:tcW w:w="0" w:type="auto"/>
            <w:gridSpan w:val="2"/>
          </w:tcPr>
          <w:p/>
        </w:tc>
      </w:tr>
    </w:tbl>
    <w:tbl>
      <w:tblPr>
        <w:tblStyle w:val="Table2"/>
        <w:tblW w:w="5000" w:type="pct"/>
        <w:jc w:val="left"/>
        <w:tblInd w:w="0" w:type="dxa"/>
        <w:tblLayout w:type="autofit"/>
      </w:tblPr>
      <w:tblGrid>
        <w:gridCol w:w="150"/>
        <w:gridCol w:w="8910"/>
      </w:tblGrid>
      <w:tr>
        <w:trPr>
          <w:trHeight w:val="75" w:hRule="exact"/>
        </w:trPr>
        <w:tc>
          <w:tcPr>
            <w:tcW w:w="0" w:type="auto"/>
            <w:gridSpan w:val="2"/>
          </w:tcPr>
          <w:p/>
        </w:tc>
      </w:tr>
      <w:tr>
        <w:trPr>
          <w:trHeight w:val="0" w:hRule="atLeast"/>
        </w:trPr>
        <w:tc>
          <w:tcPr>
            <w:tcW w:w="0" w:type="dxa"/>
            <w:tcBorders>
              <w:top w:val="single" w:color="E6E6E6" w:sz="6"/>
              <w:left w:val="single" w:color="E6E6E6" w:sz="6"/>
              <w:bottom w:val="single" w:color="E6E6E6" w:sz="6"/>
            </w:tcBorders>
            <w:tcMar>
              <w:top w:w="75" w:type="dxa"/>
              <w:left w:w="150" w:type="dxa"/>
              <w:bottom w:w="75" w:type="dxa"/>
              <w:right w:w="0" w:type="dxa"/>
            </w:tcMar>
            <w:vAlign w:val="top"/>
          </w:tcPr>
          <w:p/>
        </w:tc>
        <w:tc>
          <w:tcPr>
            <w:tcW w:w="0" w:type="auto"/>
            <w:tcBorders>
              <w:top w:val="single" w:color="E6E6E6" w:sz="6"/>
              <w:bottom w:val="single" w:color="E6E6E6" w:sz="6"/>
              <w:right w:val="single" w:color="E6E6E6" w:sz="6"/>
            </w:tcBorders>
            <w:tcMar>
              <w:top w:w="75" w:type="dxa"/>
              <w:left w:w="0" w:type="dxa"/>
              <w:bottom w:w="75" w:type="dxa"/>
              <w:right w:w="150" w:type="dxa"/>
            </w:tcMar>
            <w:vAlign w:val="top"/>
          </w:tcPr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Segoe UI" w:hAnsi="Segoe UI" w:cs="Segoe UI"/>
                <w:b w:val="on"/>
                <w:bCs w:val="on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Segoe UI" w:hAnsi="Segoe UI" w:cs="Segoe UI"/>
                <w:b w:val="on"/>
                <w:bCs w:val="on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Описание проблемы </w:t>
            </w:r>
            <w:r>
              <w:rPr>
                <w:rFonts w:ascii="quote-cjk-patch" w:hAnsi="quote-cjk-patch" w:cs="quote-cjk-patch"/>
                <w:b w:val="on"/>
                <w:bCs w:val="on"/>
                <w:i w:val="off"/>
                <w:iCs w:val="off"/>
                <w:color w:val="000000"/>
                <w:sz w:val="30"/>
                <w:szCs w:val="30"/>
                <w:u w:val="none"/>
              </w:rPr>
              <w:t xml:space="preserve">При расчёте по схеме Бернулли результат отображается как «0» или «NaN» (не число), хотя введены, казалось бы, корректные данные.</w:t>
            </w:r>
          </w:p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Решение: 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Чаще всего эта ошибка возникает из-за некорректного задания вероятности успеха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p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. Убедитесь, что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p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 введено в виде десятичной дроби с точкой (например,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0.5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, а не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0,5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), и находится в диапазоне от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0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 до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1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 включительно. Также проверьте, что количество испытаний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n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 и число успехов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k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 – целые неотрицательные числа, причём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k ≤ n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. Если вы используете очень большие значения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n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 (например, более 100), вычисление факториала может вызвать переполнение – в этом случае программа вернёт специальное значение. Для учебных задач рекомендуется вводить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n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 не более 20–30.</w:t>
            </w:r>
          </w:p>
        </w:tc>
      </w:tr>
      <w:tr>
        <w:trPr>
          <w:trHeight w:val="75" w:hRule="exact"/>
        </w:trPr>
        <w:tc>
          <w:tcPr>
            <w:tcW w:w="0" w:type="auto"/>
            <w:gridSpan w:val="2"/>
          </w:tcPr>
          <w:p/>
        </w:tc>
      </w:tr>
    </w:tbl>
    <w:tbl>
      <w:tblPr>
        <w:tblStyle w:val="Table1"/>
        <w:tblW w:w="5000" w:type="pct"/>
        <w:jc w:val="left"/>
        <w:tblInd w:w="0" w:type="dxa"/>
        <w:tblLayout w:type="autofit"/>
      </w:tblPr>
      <w:tblGrid>
        <w:gridCol w:w="150"/>
        <w:gridCol w:w="8910"/>
      </w:tblGrid>
      <w:tr>
        <w:trPr>
          <w:trHeight w:val="75" w:hRule="exact"/>
        </w:trPr>
        <w:tc>
          <w:tcPr>
            <w:tcW w:w="0" w:type="auto"/>
            <w:gridSpan w:val="2"/>
          </w:tcPr>
          <w:p/>
        </w:tc>
      </w:tr>
      <w:tr>
        <w:trPr>
          <w:trHeight w:val="0" w:hRule="atLeast"/>
        </w:trPr>
        <w:tc>
          <w:tcPr>
            <w:tcW w:w="0" w:type="dxa"/>
            <w:tcBorders>
              <w:top w:val="single" w:color="E6E6E6" w:sz="6"/>
              <w:left w:val="single" w:color="E6E6E6" w:sz="6"/>
              <w:bottom w:val="single" w:color="E6E6E6" w:sz="6"/>
            </w:tcBorders>
            <w:tcMar>
              <w:top w:w="75" w:type="dxa"/>
              <w:left w:w="150" w:type="dxa"/>
              <w:bottom w:w="75" w:type="dxa"/>
              <w:right w:w="0" w:type="dxa"/>
            </w:tcMar>
            <w:vAlign w:val="top"/>
          </w:tcPr>
          <w:p/>
        </w:tc>
        <w:tc>
          <w:tcPr>
            <w:tcW w:w="0" w:type="auto"/>
            <w:tcBorders>
              <w:top w:val="single" w:color="E6E6E6" w:sz="6"/>
              <w:bottom w:val="single" w:color="E6E6E6" w:sz="6"/>
              <w:right w:val="single" w:color="E6E6E6" w:sz="6"/>
            </w:tcBorders>
            <w:tcMar>
              <w:top w:w="75" w:type="dxa"/>
              <w:left w:w="0" w:type="dxa"/>
              <w:bottom w:w="75" w:type="dxa"/>
              <w:right w:w="150" w:type="dxa"/>
            </w:tcMar>
            <w:vAlign w:val="top"/>
          </w:tcPr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Segoe UI" w:hAnsi="Segoe UI" w:cs="Segoe UI"/>
                <w:b w:val="on"/>
                <w:bCs w:val="on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Segoe UI" w:hAnsi="Segoe UI" w:cs="Segoe UI"/>
                <w:b w:val="on"/>
                <w:bCs w:val="on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Описание проблемы</w:t>
            </w:r>
            <w:r>
              <w:rPr>
                <w:rFonts w:ascii="Segoe UI" w:hAnsi="Segoe UI" w:cs="Segoe UI"/>
                <w:b w:val="on"/>
                <w:bCs w:val="on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 </w:t>
            </w:r>
            <w:r>
              <w:rPr>
                <w:rFonts w:ascii="quote-cjk-patch" w:hAnsi="quote-cjk-patch" w:cs="quote-cjk-patch"/>
                <w:b w:val="on"/>
                <w:bCs w:val="on"/>
                <w:i w:val="off"/>
                <w:iCs w:val="off"/>
                <w:color w:val="000000"/>
                <w:sz w:val="30"/>
                <w:szCs w:val="30"/>
                <w:u w:val="none"/>
              </w:rPr>
              <w:t xml:space="preserve">После ввода данных и нажатия кнопки программа не отвечает (зависает) на несколько секунд.</w:t>
            </w:r>
          </w:p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Решение: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Зависание может происходить при расчётах с численным интегрированием (например, для непрерывных случайных величин) или при очень больших значениях параметров в схеме Бернулли. Это нормально для сложных вычислений, если длительность не превышает 5–10 секунд. Однако если зависание длится дольше или возникает постоянно, попробуйте:</w:t>
            </w:r>
          </w:p>
          <w:p>
            <w:pPr>
              <w:numPr>
                <w:ilvl w:val="1"/>
                <w:numId w:val="1"/>
              </w:numPr>
              <w:bidi w:val="off"/>
              <w:spacing w:before="160" w:after="160" w:line="276" w:lineRule="auto"/>
              <w:ind w:left="270" w:firstLine="0"/>
              <w:jc w:val="left"/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уменьшить точность расчётов (через настройки программы выставьте меньшее количество знаков после запятой, например, 3 вместо 6);</w:t>
            </w:r>
          </w:p>
          <w:p>
            <w:pPr>
              <w:numPr>
                <w:ilvl w:val="1"/>
                <w:numId w:val="1"/>
              </w:numPr>
              <w:bidi w:val="off"/>
              <w:spacing w:before="160" w:after="160" w:line="276" w:lineRule="auto"/>
              <w:ind w:left="270" w:firstLine="0"/>
              <w:jc w:val="left"/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проверить, не задан ли слишком широкий интервал интегрирования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[a, b]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 для плотности распределения – сузьте его до разумных пределов;</w:t>
            </w:r>
          </w:p>
          <w:p>
            <w:pPr>
              <w:numPr>
                <w:ilvl w:val="1"/>
                <w:numId w:val="1"/>
              </w:numPr>
              <w:bidi w:val="off"/>
              <w:spacing w:before="160" w:after="160" w:line="276" w:lineRule="auto"/>
              <w:ind w:left="270" w:firstLine="0"/>
              <w:jc w:val="left"/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перезапустить программу и повторить ввод.</w:t>
            </w:r>
          </w:p>
          <w:p>
            <w:pPr>
              <w:bidi w:val="off"/>
              <w:spacing w:before="160" w:after="160" w:line="276" w:lineRule="auto"/>
              <w:ind w:left="270" w:firstLine="0"/>
              <w:jc w:val="left"/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Если проблема повторяется на любых данных, обратитесь к разработчику – возможно, требуется оптимизация алгоритма под ваш компьютер.</w:t>
            </w:r>
          </w:p>
        </w:tc>
      </w:tr>
      <w:tr>
        <w:trPr>
          <w:trHeight w:val="75" w:hRule="exact"/>
        </w:trPr>
        <w:tc>
          <w:tcPr>
            <w:tcW w:w="0" w:type="auto"/>
            <w:gridSpan w:val="2"/>
          </w:tcPr>
          <w:p/>
        </w:tc>
      </w:tr>
    </w:tbl>
    <w:p>
      <w:pPr>
        <w:bidi w:val="off"/>
        <w:spacing w:before="32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Если вы не нашли ответа на свой вопрос, пожалуйста, </w:t>
      </w:r>
      <w:hyperlink w:anchor="7f77a01d-3465-466f-ba5d-ec49887442b5">
        <w:r>
          <w:rPr>
            <w:rFonts w:ascii="Segoe UI" w:hAnsi="Segoe UI" w:cs="Segoe UI"/>
            <w:b w:val="off"/>
            <w:bCs w:val="off"/>
            <w:i w:val="off"/>
            <w:iCs w:val="off"/>
            <w:color w:val="0000FF"/>
            <w:sz w:val="24"/>
            <w:szCs w:val="24"/>
            <w:u w:val="single"/>
          </w:rPr>
          <w:t xml:space="preserve">свяжитесь с нами</w:t>
        </w:r>
      </w:hyperlink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.</w:t>
      </w:r>
      <w:r>
        <w:br w:type="page"/>
      </w:r>
    </w:p>
    <w:bookmarkStart w:id="18" w:name="ca5e662e-0718-4e68-afee-3348e06d0dab"/>
    <w:bookmarkEnd w:id="18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Частые вопросы (FAQ)</w:t>
      </w:r>
    </w:p>
    <w:tbl>
      <w:tblPr>
        <w:tblStyle w:val="Table1"/>
        <w:tblW w:w="5000" w:type="pct"/>
        <w:jc w:val="left"/>
        <w:tblInd w:w="0" w:type="dxa"/>
        <w:tblLayout w:type="autofit"/>
      </w:tblPr>
      <w:tblGrid>
        <w:gridCol w:w="150"/>
        <w:gridCol w:w="8910"/>
      </w:tblGrid>
      <w:tr>
        <w:trPr>
          <w:trHeight w:val="75" w:hRule="exact"/>
        </w:trPr>
        <w:tc>
          <w:tcPr>
            <w:tcW w:w="0" w:type="auto"/>
            <w:gridSpan w:val="2"/>
          </w:tcPr>
          <w:p/>
        </w:tc>
      </w:tr>
      <w:tr>
        <w:trPr>
          <w:trHeight w:val="0" w:hRule="atLeast"/>
        </w:trPr>
        <w:tc>
          <w:tcPr>
            <w:tcW w:w="0" w:type="dxa"/>
            <w:tcBorders>
              <w:top w:val="single" w:color="E6E6E6" w:sz="6"/>
              <w:left w:val="single" w:color="E6E6E6" w:sz="6"/>
              <w:bottom w:val="single" w:color="E6E6E6" w:sz="6"/>
            </w:tcBorders>
            <w:tcMar>
              <w:top w:w="75" w:type="dxa"/>
              <w:left w:w="150" w:type="dxa"/>
              <w:bottom w:w="75" w:type="dxa"/>
              <w:right w:w="0" w:type="dxa"/>
            </w:tcMar>
            <w:vAlign w:val="top"/>
          </w:tcPr>
          <w:p/>
        </w:tc>
        <w:tc>
          <w:tcPr>
            <w:tcW w:w="0" w:type="auto"/>
            <w:tcBorders>
              <w:top w:val="single" w:color="E6E6E6" w:sz="6"/>
              <w:bottom w:val="single" w:color="E6E6E6" w:sz="6"/>
              <w:right w:val="single" w:color="E6E6E6" w:sz="6"/>
            </w:tcBorders>
            <w:tcMar>
              <w:top w:w="75" w:type="dxa"/>
              <w:left w:w="0" w:type="dxa"/>
              <w:bottom w:w="75" w:type="dxa"/>
              <w:right w:w="150" w:type="dxa"/>
            </w:tcMar>
            <w:vAlign w:val="top"/>
          </w:tcPr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Segoe UI" w:hAnsi="Segoe UI" w:cs="Segoe UI"/>
                <w:b w:val="on"/>
                <w:bCs w:val="on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Segoe UI" w:hAnsi="Segoe UI" w:cs="Segoe UI"/>
                <w:b w:val="on"/>
                <w:bCs w:val="on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Как выполнить расчёт классической вероятности?</w:t>
            </w:r>
          </w:p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Ответ: 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  <w:shd w:val="solid" w:color="FFFFFF"/>
              </w:rPr>
              <w:t xml:space="preserve">главном окне выберите задачу «Классическая вероятность» и нажмите соответствующую кнопку. В открывшемся окне введите в поле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  <w:shd w:val="solid" w:color="FFFFFF"/>
              </w:rPr>
              <w:t xml:space="preserve">n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  <w:shd w:val="solid" w:color="FFFFFF"/>
              </w:rPr>
              <w:t xml:space="preserve"> общее число всех возможных исходов, а в поле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  <w:shd w:val="solid" w:color="FFFFFF"/>
              </w:rPr>
              <w:t xml:space="preserve">m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  <w:shd w:val="solid" w:color="FFFFFF"/>
              </w:rPr>
              <w:t xml:space="preserve"> – число благоприятных исходов. Нажмите кнопку «Вычислить». Программа автоматически проверит корректность ввода (целые числа,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  <w:shd w:val="solid" w:color="FFFFFF"/>
              </w:rPr>
              <w:t xml:space="preserve">0 ≤ m ≤ n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  <w:shd w:val="solid" w:color="FFFFFF"/>
              </w:rPr>
              <w:t xml:space="preserve">,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  <w:shd w:val="solid" w:color="FFFFFF"/>
              </w:rPr>
              <w:t xml:space="preserve">n &gt; 0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  <w:shd w:val="solid" w:color="FFFFFF"/>
              </w:rPr>
              <w:t xml:space="preserve">), рассчитает вероятность по формуле </w:t>
            </w: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  <w:shd w:val="solid" w:color="FFFFFF"/>
              </w:rPr>
              <w:t xml:space="preserve">P = m/n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  <w:shd w:val="solid" w:color="FFFFFF"/>
              </w:rPr>
              <w:t xml:space="preserve">, округлит результат до заданной точности и отобразит числовое значение вместе с текстовым пояснением, показывающим подстановку чисел в формулу.</w:t>
            </w:r>
          </w:p>
        </w:tc>
      </w:tr>
      <w:tr>
        <w:trPr>
          <w:trHeight w:val="75" w:hRule="exact"/>
        </w:trPr>
        <w:tc>
          <w:tcPr>
            <w:tcW w:w="0" w:type="auto"/>
            <w:gridSpan w:val="2"/>
          </w:tcPr>
          <w:p/>
        </w:tc>
      </w:tr>
    </w:tbl>
    <w:tbl>
      <w:tblPr>
        <w:tblStyle w:val="Table2"/>
        <w:tblW w:w="5000" w:type="pct"/>
        <w:jc w:val="left"/>
        <w:tblInd w:w="0" w:type="dxa"/>
        <w:tblLayout w:type="autofit"/>
      </w:tblPr>
      <w:tblGrid>
        <w:gridCol w:w="150"/>
        <w:gridCol w:w="8910"/>
      </w:tblGrid>
      <w:tr>
        <w:trPr>
          <w:trHeight w:val="75" w:hRule="exact"/>
        </w:trPr>
        <w:tc>
          <w:tcPr>
            <w:tcW w:w="0" w:type="auto"/>
            <w:gridSpan w:val="2"/>
          </w:tcPr>
          <w:p/>
        </w:tc>
      </w:tr>
      <w:tr>
        <w:trPr>
          <w:trHeight w:val="0" w:hRule="atLeast"/>
        </w:trPr>
        <w:tc>
          <w:tcPr>
            <w:tcW w:w="0" w:type="dxa"/>
            <w:tcBorders>
              <w:top w:val="single" w:color="E6E6E6" w:sz="6"/>
              <w:left w:val="single" w:color="E6E6E6" w:sz="6"/>
              <w:bottom w:val="single" w:color="E6E6E6" w:sz="6"/>
            </w:tcBorders>
            <w:tcMar>
              <w:top w:w="75" w:type="dxa"/>
              <w:left w:w="150" w:type="dxa"/>
              <w:bottom w:w="75" w:type="dxa"/>
              <w:right w:w="0" w:type="dxa"/>
            </w:tcMar>
            <w:vAlign w:val="top"/>
          </w:tcPr>
          <w:p/>
        </w:tc>
        <w:tc>
          <w:tcPr>
            <w:tcW w:w="0" w:type="auto"/>
            <w:tcBorders>
              <w:top w:val="single" w:color="E6E6E6" w:sz="6"/>
              <w:bottom w:val="single" w:color="E6E6E6" w:sz="6"/>
              <w:right w:val="single" w:color="E6E6E6" w:sz="6"/>
            </w:tcBorders>
            <w:tcMar>
              <w:top w:w="75" w:type="dxa"/>
              <w:left w:w="0" w:type="dxa"/>
              <w:bottom w:w="75" w:type="dxa"/>
              <w:right w:w="150" w:type="dxa"/>
            </w:tcMar>
            <w:vAlign w:val="top"/>
          </w:tcPr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Segoe UI" w:hAnsi="Segoe UI" w:cs="Segoe UI"/>
                <w:b w:val="on"/>
                <w:bCs w:val="on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Segoe UI" w:hAnsi="Segoe UI" w:cs="Segoe UI"/>
                <w:b w:val="on"/>
                <w:bCs w:val="on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Что </w:t>
            </w:r>
            <w:r>
              <w:rPr>
                <w:rFonts w:ascii="quote-cjk-patch" w:hAnsi="quote-cjk-patch" w:cs="quote-cjk-patch"/>
                <w:b w:val="on"/>
                <w:bCs w:val="on"/>
                <w:i w:val="off"/>
                <w:iCs w:val="off"/>
                <w:color w:val="000000"/>
                <w:sz w:val="30"/>
                <w:szCs w:val="30"/>
                <w:u w:val="none"/>
              </w:rPr>
              <w:t xml:space="preserve"> означает текстовое пояснение, которое выводится вместе с результатом?</w:t>
            </w:r>
          </w:p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Ответ: 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текстовое пояснение – это обучающий блок, который показывает последовательность расчёта: записанную формулу, подставленные в неё числовые значения и промежуточные вычисления. Например, для классической вероятности пояснение будет выглядеть так:</w:t>
            </w:r>
          </w:p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Menlo" w:hAnsi="Menlo" w:cs="Menlo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P = m / n = 3 / 10 = 0,3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.</w:t>
            </w:r>
          </w:p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Это позволяет пользователю не только получить ответ, но и разобраться в логике решения, проверить себя и лучше усвоить тему.</w:t>
            </w:r>
          </w:p>
        </w:tc>
      </w:tr>
      <w:tr>
        <w:trPr>
          <w:trHeight w:val="75" w:hRule="exact"/>
        </w:trPr>
        <w:tc>
          <w:tcPr>
            <w:tcW w:w="0" w:type="auto"/>
            <w:gridSpan w:val="2"/>
          </w:tcPr>
          <w:p/>
        </w:tc>
      </w:tr>
    </w:tbl>
    <w:tbl>
      <w:tblPr>
        <w:tblStyle w:val="Table1"/>
        <w:tblW w:w="5000" w:type="pct"/>
        <w:jc w:val="left"/>
        <w:tblInd w:w="0" w:type="dxa"/>
        <w:tblLayout w:type="autofit"/>
      </w:tblPr>
      <w:tblGrid>
        <w:gridCol w:w="150"/>
        <w:gridCol w:w="8910"/>
      </w:tblGrid>
      <w:tr>
        <w:trPr>
          <w:trHeight w:val="75" w:hRule="exact"/>
        </w:trPr>
        <w:tc>
          <w:tcPr>
            <w:tcW w:w="0" w:type="auto"/>
            <w:gridSpan w:val="2"/>
          </w:tcPr>
          <w:p/>
        </w:tc>
      </w:tr>
      <w:tr>
        <w:trPr>
          <w:trHeight w:val="0" w:hRule="atLeast"/>
        </w:trPr>
        <w:tc>
          <w:tcPr>
            <w:tcW w:w="0" w:type="dxa"/>
            <w:tcBorders>
              <w:top w:val="single" w:color="E6E6E6" w:sz="6"/>
              <w:left w:val="single" w:color="E6E6E6" w:sz="6"/>
              <w:bottom w:val="single" w:color="E6E6E6" w:sz="6"/>
            </w:tcBorders>
            <w:tcMar>
              <w:top w:w="75" w:type="dxa"/>
              <w:left w:w="150" w:type="dxa"/>
              <w:bottom w:w="75" w:type="dxa"/>
              <w:right w:w="0" w:type="dxa"/>
            </w:tcMar>
            <w:vAlign w:val="top"/>
          </w:tcPr>
          <w:p/>
        </w:tc>
        <w:tc>
          <w:tcPr>
            <w:tcW w:w="0" w:type="auto"/>
            <w:tcBorders>
              <w:top w:val="single" w:color="E6E6E6" w:sz="6"/>
              <w:bottom w:val="single" w:color="E6E6E6" w:sz="6"/>
              <w:right w:val="single" w:color="E6E6E6" w:sz="6"/>
            </w:tcBorders>
            <w:tcMar>
              <w:top w:w="75" w:type="dxa"/>
              <w:left w:w="0" w:type="dxa"/>
              <w:bottom w:w="75" w:type="dxa"/>
              <w:right w:w="150" w:type="dxa"/>
            </w:tcMar>
            <w:vAlign w:val="top"/>
          </w:tcPr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Segoe UI" w:hAnsi="Segoe UI" w:cs="Segoe UI"/>
                <w:b w:val="on"/>
                <w:bCs w:val="on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Segoe UI" w:hAnsi="Segoe UI" w:cs="Segoe UI"/>
                <w:b w:val="on"/>
                <w:bCs w:val="on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Для чего </w:t>
            </w:r>
            <w:r>
              <w:rPr>
                <w:rFonts w:ascii="quote-cjk-patch" w:hAnsi="quote-cjk-patch" w:cs="quote-cjk-patch"/>
                <w:b w:val="on"/>
                <w:bCs w:val="on"/>
                <w:i w:val="off"/>
                <w:iCs w:val="off"/>
                <w:color w:val="000000"/>
                <w:sz w:val="30"/>
                <w:szCs w:val="30"/>
                <w:u w:val="none"/>
              </w:rPr>
              <w:t xml:space="preserve">не предназначено данное программное обеспечение?</w:t>
            </w:r>
          </w:p>
          <w:p>
            <w:pPr>
              <w:bidi w:val="off"/>
              <w:spacing w:before="160" w:after="160" w:line="276" w:lineRule="auto"/>
              <w:ind w:left="0" w:firstLine="0"/>
              <w:jc w:val="left"/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Segoe UI" w:hAnsi="Segoe UI" w:cs="Segoe UI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Ответ</w:t>
            </w: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: Программа не предназначена для:</w:t>
            </w:r>
          </w:p>
          <w:p>
            <w:pPr>
              <w:numPr>
                <w:ilvl w:val="1"/>
                <w:numId w:val="2"/>
              </w:numPr>
              <w:bidi w:val="off"/>
              <w:spacing w:before="160" w:after="160" w:line="276" w:lineRule="auto"/>
              <w:ind w:left="270" w:firstLine="0"/>
              <w:jc w:val="left"/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решения задач, требующих символьных вычислений (например, аналитического вывода формул в общем виде);</w:t>
            </w:r>
          </w:p>
          <w:p>
            <w:pPr>
              <w:numPr>
                <w:ilvl w:val="1"/>
                <w:numId w:val="2"/>
              </w:numPr>
              <w:bidi w:val="off"/>
              <w:spacing w:before="160" w:after="160" w:line="276" w:lineRule="auto"/>
              <w:ind w:left="270" w:firstLine="0"/>
              <w:jc w:val="left"/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обработки больших статистических выборок с объёмом данных более нескольких сотен значений (из-за ограничений интерфейса и производительности);</w:t>
            </w:r>
          </w:p>
          <w:p>
            <w:pPr>
              <w:numPr>
                <w:ilvl w:val="1"/>
                <w:numId w:val="2"/>
              </w:numPr>
              <w:bidi w:val="off"/>
              <w:spacing w:before="160" w:after="160" w:line="276" w:lineRule="auto"/>
              <w:ind w:left="270" w:firstLine="0"/>
              <w:jc w:val="left"/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автоматической генерации условий задач – пользователь должен самостоятельно вводить корректные исходные данные.</w:t>
            </w:r>
          </w:p>
          <w:p>
            <w:pPr>
              <w:bidi w:val="off"/>
              <w:spacing w:before="160" w:after="160" w:line="276" w:lineRule="auto"/>
              <w:ind w:left="270" w:firstLine="0"/>
              <w:jc w:val="left"/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</w:pPr>
            <w:r>
              <w:rPr>
                <w:rFonts w:ascii="quote-cjk-patch" w:hAnsi="quote-cjk-patch" w:cs="quote-cjk-patch"/>
                <w:b w:val="off"/>
                <w:bCs w:val="off"/>
                <w:i w:val="off"/>
                <w:iCs w:val="off"/>
                <w:color w:val="000000"/>
                <w:sz w:val="28"/>
                <w:szCs w:val="28"/>
                <w:u w:val="none"/>
              </w:rPr>
              <w:t xml:space="preserve">Также ПО не заменяет полноценные математические пакеты (MathCAD, MATLAB) и не предназначено для профессиональных научных исследований – его основная цель: помощь студентам и преподавателям при изучении базовых разделов теории вероятностей.</w:t>
            </w:r>
          </w:p>
        </w:tc>
      </w:tr>
      <w:tr>
        <w:trPr>
          <w:trHeight w:val="75" w:hRule="exact"/>
        </w:trPr>
        <w:tc>
          <w:tcPr>
            <w:tcW w:w="0" w:type="auto"/>
            <w:gridSpan w:val="2"/>
          </w:tcPr>
          <w:p/>
        </w:tc>
      </w:tr>
    </w:tbl>
    <w:p>
      <w:pPr/>
      <w:r>
        <w:br w:type="page"/>
      </w:r>
    </w:p>
    <w:bookmarkStart w:id="19" w:name="15233c93-e0eb-4321-9627-3a0b47d22506"/>
    <w:bookmarkEnd w:id="19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Лицензия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Данный раздел содержит информацию о типах и видах лицензий продукта АС "ТВ", а так же информацию о способах приобретения и условиях лицензирования.</w:t>
      </w:r>
      <w:r>
        <w:br w:type="page"/>
      </w:r>
    </w:p>
    <w:bookmarkStart w:id="20" w:name="c5889300-e4b0-43e9-8d3f-325036c1b9b1"/>
    <w:bookmarkEnd w:id="20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Виды лицензий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Использование АС "ТВ" предполагает ваше прямое согласие с общим </w:t>
      </w:r>
      <w:hyperlink w:anchor="0343637b-d224-4986-a470-e45222a3137f">
        <w:r>
          <w:rPr>
            <w:rFonts w:ascii="Segoe UI" w:hAnsi="Segoe UI" w:cs="Segoe UI"/>
            <w:b w:val="off"/>
            <w:bCs w:val="off"/>
            <w:i w:val="off"/>
            <w:iCs w:val="off"/>
            <w:color w:val="0000FF"/>
            <w:sz w:val="24"/>
            <w:szCs w:val="24"/>
            <w:u w:val="single"/>
          </w:rPr>
          <w:t xml:space="preserve">Лицензионным Соглашением Конечного Пользователя</w:t>
        </w:r>
      </w:hyperlink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.</w:t>
      </w:r>
    </w:p>
    <w:p>
      <w:pPr>
        <w:bidi w:val="off"/>
        <w:spacing w:before="40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Лицензионная модель поддерживает следующие типы лицензий:</w:t>
      </w:r>
    </w:p>
    <w:p>
      <w:pPr>
        <w:bidi w:val="off"/>
        <w:spacing w:before="320" w:after="160" w:line="276" w:lineRule="auto"/>
        <w:ind w:left="0" w:firstLine="0"/>
        <w:jc w:val="left"/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Бесплатная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Данный тип лицензии позволяет &lt;НЕ ЗАБЫТЬ ...&gt;</w:t>
      </w:r>
    </w:p>
    <w:p>
      <w:pPr>
        <w:bidi w:val="off"/>
        <w:spacing w:before="320" w:after="160" w:line="276" w:lineRule="auto"/>
        <w:ind w:left="0" w:firstLine="0"/>
        <w:jc w:val="left"/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Персональная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Данный тип лицензии обеспечивает &lt;НЕ ЗАБЫТЬ ...&gt;</w:t>
      </w:r>
    </w:p>
    <w:p>
      <w:pPr>
        <w:bidi w:val="off"/>
        <w:spacing w:before="320" w:after="160" w:line="276" w:lineRule="auto"/>
        <w:ind w:left="0" w:firstLine="0"/>
        <w:jc w:val="left"/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Офисная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Данный тип лицензии разрешает &lt;НЕ ЗАБЫТЬ ...&gt;</w:t>
      </w:r>
    </w:p>
    <w:p>
      <w:pPr>
        <w:bidi w:val="off"/>
        <w:spacing w:before="320" w:after="160" w:line="276" w:lineRule="auto"/>
        <w:ind w:left="0" w:firstLine="0"/>
        <w:jc w:val="left"/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Корпоративная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Данный тип лицензии дает возможность &lt;НЕ ЗАБЫТЬ ...&gt;</w:t>
      </w:r>
    </w:p>
    <w:p>
      <w:pPr>
        <w:bidi w:val="off"/>
        <w:spacing w:before="40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Пожалуйста, ознакомьтесь с </w:t>
      </w:r>
      <w:hyperlink w:anchor="6a61fdeb-c876-4f5a-a2d2-dd526e947669">
        <w:r>
          <w:rPr>
            <w:rFonts w:ascii="Segoe UI" w:hAnsi="Segoe UI" w:cs="Segoe UI"/>
            <w:b w:val="off"/>
            <w:bCs w:val="off"/>
            <w:i w:val="off"/>
            <w:iCs w:val="off"/>
            <w:color w:val="0000FF"/>
            <w:sz w:val="24"/>
            <w:szCs w:val="24"/>
            <w:u w:val="single"/>
          </w:rPr>
          <w:t xml:space="preserve">информацией о способах приобретении лицензий</w:t>
        </w:r>
      </w:hyperlink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.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br w:type="page"/>
      </w:r>
    </w:p>
    <w:bookmarkStart w:id="21" w:name="6a61fdeb-c876-4f5a-a2d2-dd526e947669"/>
    <w:bookmarkEnd w:id="21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Приобретение лицензий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Приобрести и оплатить различные </w:t>
      </w:r>
      <w:hyperlink w:anchor="c5889300-e4b0-43e9-8d3f-325036c1b9b1">
        <w:r>
          <w:rPr>
            <w:rFonts w:ascii="Segoe UI" w:hAnsi="Segoe UI" w:cs="Segoe UI"/>
            <w:b w:val="off"/>
            <w:bCs w:val="off"/>
            <w:i w:val="off"/>
            <w:iCs w:val="off"/>
            <w:color w:val="0000FF"/>
            <w:sz w:val="24"/>
            <w:szCs w:val="24"/>
            <w:u w:val="single"/>
          </w:rPr>
          <w:t xml:space="preserve">типы лицензий</w:t>
        </w:r>
      </w:hyperlink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 АС "ТВ" возможно на сайте &lt;НЕ ЗАБЫТЬ ...&gt;</w:t>
      </w:r>
      <w:r>
        <w:br w:type="page"/>
      </w:r>
    </w:p>
    <w:bookmarkStart w:id="22" w:name="0343637b-d224-4986-a470-e45222a3137f"/>
    <w:bookmarkEnd w:id="22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Лицензионное соглашение</w:t>
      </w:r>
    </w:p>
    <w:p>
      <w:pPr>
        <w:bidi w:val="off"/>
        <w:spacing w:before="320" w:after="160" w:line="276" w:lineRule="auto"/>
        <w:ind w:left="0" w:firstLine="0"/>
        <w:jc w:val="left"/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ЛИЦЕНЗИОННОЕ СОГЛАШЕНИЕ КОНЕЧНОГО ПОЛЬЗОВАТЕЛЯ ПРОГРАММНОГО ОБЕСПЕЧЕНИЯ АС "ТВ"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Лицензионное соглашение конечного пользователя программного обеспечения АС "ТВ": данное соглашение является официальным договором. Пожалуйста, прочтите его внимательно. Устанавливая или используя данное программное обеспечение, вы подтверждаете, что вы прочли данное соглашение и обязуетесь следовать его требованиям и условиям. Если вы не согласны с условиями соглашения, то тогда не устанавливайте и не используйте данное программное обеспечение.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Настоящее Лицензионное соглашение (далее — Соглашение) является договором между Правообладателем (разработчиком программного обеспечения) и Пользователем (физическим или юридическим лицом, использующим программное обеспечение). Соглашение регулирует условия использования Программы для ЭВМ (далее — ПО).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ПО — программное обеспечение, распространяемое на условиях свободной лицензии, с указанием его названия, версии и других идентификаторов.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Правообладатель — юридическое или физическое лицо, обладающее исключительными правами на ПО, подтверждёнными соответствующими документами (например, свидетельством о государственной регистрации программы для ЭВМ).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Пользователь — лицо, которое устанавливает, использует или иным образом взаимодействует с ПО.</w:t>
      </w:r>
    </w:p>
    <w:p>
      <w:pPr>
        <w:bidi w:val="off"/>
        <w:spacing w:before="160" w:after="160" w:line="276" w:lineRule="auto"/>
        <w:ind w:left="60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1. 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Предмет соглашения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Правообладатель безвозмездно предоставляет Пользователю неисключительное право использования ПО на условиях простой (неисключительной) лицензии. Это означает, что Пользователь может использовать ПО в соответствии с его функциональным назначением, но не получает права на передачу лицензии третьим лицам или модификацию ПО без согласия Правообладателя.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Лицензия предоставляется на весь срок действия исключительного права на ПО.</w:t>
      </w:r>
    </w:p>
    <w:p>
      <w:pPr>
        <w:bidi w:val="off"/>
        <w:spacing w:before="160" w:after="160" w:line="276" w:lineRule="auto"/>
        <w:ind w:left="60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2. 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Условия использования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Пользователь вправе: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копировать ПО для резервного копирования или архивирования;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использовать ПО в личных, некоммерческих целях (если иное не предусмотрено соглашением);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распространять ПО в неизменном виде, при условии сохранения всех уведомлений об авторских правах и других идентификаторов Правообладателя.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Пользователь не вправе: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модифицировать, адаптировать, декомпилировать, дизассемблировать или иным образом изменять код ПО;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удалять или изменять уведомления об авторских правах, товарных знаках или других идентификаторах Правообладателя;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использовать ПО в коммерческих целях (если это не предусмотрено соглашением);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предоставлять ПО в прокат, аренду или во временное пользование;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создавать производные произведения на основе ПО без письменного согласия Правообладателя.</w:t>
      </w:r>
    </w:p>
    <w:p>
      <w:pPr>
        <w:bidi w:val="off"/>
        <w:spacing w:before="160" w:after="160" w:line="276" w:lineRule="auto"/>
        <w:ind w:left="60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3. 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Ограничения и гарантии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ПО предоставляется «как есть» (as is) без каких-либо гарантий, явных или подразумеваемых, включая гарантии пригодности для конкретной цели, отсутствия ошибок или бесперебойной работы.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Правообладатель не несёт ответственности за прямые или косвенные убытки, возникшие в результате использования ПО, включая потери данных, прерывание бизнес-процессов и т. д..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Пользователь самостоятельно несёт риск соответствия ПО своим потребностям и ожиданиям.</w:t>
      </w:r>
    </w:p>
    <w:p>
      <w:pPr>
        <w:bidi w:val="off"/>
        <w:spacing w:before="160" w:after="160" w:line="276" w:lineRule="auto"/>
        <w:ind w:left="60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4. 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Авторские права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Все исключительные права на ПО, включая авторские права, остаются за Правообладателем. ПО защищено в соответствии с законодательством об авторском праве и международными соглашениями.</w:t>
      </w:r>
    </w:p>
    <w:p>
      <w:pPr>
        <w:bidi w:val="off"/>
        <w:spacing w:before="160" w:after="160" w:line="276" w:lineRule="auto"/>
        <w:ind w:left="60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5. 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Акцепт соглашения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Начало использования ПО (загрузка, установка, запуск и т. п.) считается акцептом (принятием) Пользователем условий настоящего Соглашения. Если Пользователь не согласен с условиями Соглашения, он не вправе использовать ПО.</w:t>
      </w:r>
    </w:p>
    <w:p>
      <w:pPr>
        <w:bidi w:val="off"/>
        <w:spacing w:before="160" w:after="160" w:line="276" w:lineRule="auto"/>
        <w:ind w:left="60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6. </w:t>
      </w: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Заключительные положения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Соглашение регулируется законодательством Российской Федерации.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Все споры и разногласия, возникающие в связи с Соглашением, разрешаются в судебном порядке по месту нахождения Правообладателя.</w:t>
      </w:r>
    </w:p>
    <w:p>
      <w:pPr>
        <w:bidi w:val="off"/>
        <w:spacing w:before="160" w:after="160" w:line="276" w:lineRule="auto"/>
        <w:ind w:left="0" w:firstLine="705"/>
        <w:jc w:val="both"/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</w:pPr>
      <w:r>
        <w:rPr>
          <w:rFonts w:ascii="Times New Roman" w:hAnsi="Times New Roman" w:cs="Times New Roman"/>
          <w:b w:val="off"/>
          <w:bCs w:val="off"/>
          <w:i w:val="off"/>
          <w:iCs w:val="off"/>
          <w:color w:val="000000"/>
          <w:sz w:val="28"/>
          <w:szCs w:val="28"/>
          <w:u w:val="none"/>
        </w:rPr>
        <w:t xml:space="preserve">Правообладатель вправе в одностороннем порядке изменять условия Соглашения. Новые условия вступают в силу с момента их публикации. Пользователь обязан ознакомиться с изменениями и прекратить использование ПО, если он не согласен с новыми условиями.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br w:type="page"/>
      </w:r>
    </w:p>
    <w:bookmarkStart w:id="23" w:name="7f77a01d-3465-466f-ba5d-ec49887442b5"/>
    <w:bookmarkEnd w:id="23"/>
    <w:p>
      <w:pPr>
        <w:bidi w:val="off"/>
        <w:spacing w:before="0" w:after="32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32"/>
          <w:szCs w:val="32"/>
          <w:u w:val="none"/>
        </w:rPr>
        <w:t xml:space="preserve">Контактная информация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АС "ТВ" разрабатывается и поддерживается компанией </w:t>
      </w: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ОГТИ</w:t>
      </w: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, являющейся правообладателем.</w:t>
      </w:r>
    </w:p>
    <w:p>
      <w:pPr>
        <w:bidi w:val="off"/>
        <w:spacing w:before="320" w:after="160" w:line="276" w:lineRule="auto"/>
        <w:ind w:left="0" w:firstLine="0"/>
        <w:jc w:val="left"/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Сайт продукта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Полная информация о продукте доступна на официальном сайте программы: </w:t>
      </w:r>
      <w:hyperlink r:id="rId11">
        <w:r>
          <w:rPr>
            <w:rFonts w:ascii="Segoe UI" w:hAnsi="Segoe UI" w:cs="Segoe UI"/>
            <w:b w:val="off"/>
            <w:bCs w:val="off"/>
            <w:i w:val="off"/>
            <w:iCs w:val="off"/>
            <w:color w:val="0000FF"/>
            <w:sz w:val="24"/>
            <w:szCs w:val="24"/>
            <w:u w:val="single"/>
          </w:rPr>
          <w:t xml:space="preserve">https://github.com/Anatidaef0b/Coursework-Rostavletov</w:t>
        </w:r>
      </w:hyperlink>
    </w:p>
    <w:p>
      <w:pPr>
        <w:bidi w:val="off"/>
        <w:spacing w:before="320" w:after="160" w:line="276" w:lineRule="auto"/>
        <w:ind w:left="0" w:firstLine="0"/>
        <w:jc w:val="left"/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Техническая поддержка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Вы можете направить вопросы по функциональности программы АС "ТВ" следующими способами:</w:t>
      </w:r>
    </w:p>
    <w:p>
      <w:pPr>
        <w:numPr>
          <w:ilvl w:val="0"/>
          <w:numId w:val="3"/>
        </w:numPr>
        <w:bidi w:val="off"/>
        <w:spacing w:before="0" w:after="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Email:  trostavletov@gmail.com</w:t>
      </w:r>
    </w:p>
    <w:p>
      <w:pPr>
        <w:numPr>
          <w:ilvl w:val="0"/>
          <w:numId w:val="3"/>
        </w:numPr>
        <w:bidi w:val="off"/>
        <w:spacing w:before="0" w:after="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Телефон: +7 9225338777</w:t>
      </w:r>
    </w:p>
    <w:p>
      <w:pPr>
        <w:numPr>
          <w:ilvl w:val="0"/>
          <w:numId w:val="3"/>
        </w:numPr>
        <w:bidi w:val="off"/>
        <w:spacing w:before="0" w:after="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Мессенджеры: max,ВКонтакте</w:t>
      </w:r>
    </w:p>
    <w:p>
      <w:pPr>
        <w:numPr>
          <w:ilvl w:val="0"/>
          <w:numId w:val="3"/>
        </w:numPr>
        <w:bidi w:val="off"/>
        <w:spacing w:before="0" w:after="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Форма обратной связи: trostavletov@gmail.com</w:t>
      </w:r>
    </w:p>
    <w:p>
      <w:pPr>
        <w:bidi w:val="off"/>
        <w:spacing w:before="320" w:after="160" w:line="276" w:lineRule="auto"/>
        <w:ind w:left="0" w:firstLine="0"/>
        <w:jc w:val="left"/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Продажи и сотрудничество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По вопросам лицензирования и сотрудничества, пожалуйста используйте следующие каналы:</w:t>
      </w:r>
    </w:p>
    <w:p>
      <w:pPr>
        <w:numPr>
          <w:ilvl w:val="0"/>
          <w:numId w:val="4"/>
        </w:numPr>
        <w:bidi w:val="off"/>
        <w:spacing w:before="0" w:after="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Email: trostavletov@gmail.com</w:t>
      </w:r>
    </w:p>
    <w:p>
      <w:pPr>
        <w:numPr>
          <w:ilvl w:val="0"/>
          <w:numId w:val="4"/>
        </w:numPr>
        <w:bidi w:val="off"/>
        <w:spacing w:before="0" w:after="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Телефон: +7 9225338777</w:t>
      </w:r>
    </w:p>
    <w:p>
      <w:pPr>
        <w:numPr>
          <w:ilvl w:val="0"/>
          <w:numId w:val="4"/>
        </w:numPr>
        <w:bidi w:val="off"/>
        <w:spacing w:before="0" w:after="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Мессенджеры: ВКонтакте,max</w:t>
      </w:r>
    </w:p>
    <w:p>
      <w:pPr>
        <w:numPr>
          <w:ilvl w:val="0"/>
          <w:numId w:val="4"/>
        </w:numPr>
        <w:bidi w:val="off"/>
        <w:spacing w:before="0" w:after="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Форма обратной связи: trostavletov@gmail.com</w:t>
      </w:r>
    </w:p>
    <w:p>
      <w:pPr>
        <w:bidi w:val="off"/>
        <w:spacing w:before="320" w:after="160" w:line="276" w:lineRule="auto"/>
        <w:ind w:left="0" w:firstLine="0"/>
        <w:jc w:val="left"/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n"/>
          <w:bCs w:val="on"/>
          <w:i w:val="off"/>
          <w:iCs w:val="off"/>
          <w:color w:val="000000"/>
          <w:sz w:val="24"/>
          <w:szCs w:val="24"/>
          <w:u w:val="none"/>
        </w:rPr>
        <w:t xml:space="preserve">Офис компании и адрес для корреспонденции</w:t>
      </w:r>
    </w:p>
    <w:p>
      <w:pPr>
        <w:bidi w:val="off"/>
        <w:spacing w:before="0" w:after="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drawing>
          <wp:anchor simplePos="0" relativeHeight="2" behindDoc="0" locked="0" layoutInCell="1" allowOverlap="1">
            <wp:simplePos x="0" y="0"/>
            <wp:positionH relativeFrom="column">
              <wp:align>left</wp:align>
            </wp:positionH>
            <wp:positionV relativeFrom="line">
              <wp:align>top</wp:align>
            </wp:positionV>
            <wp:extent cx="3171825" cy="2371725"/>
            <wp:effectExtent l="190500" t="190500" r="190500" b="190500"/>
            <wp:wrapSquare wrapText="bothSides"/>
            <wp:docPr id="4" name="drex_module_8_custo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ex_module_8_cust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ext cx="3171825" cy="2371725"/>
                    </a:xfrm>
                    <a:prstGeom prst="rect"/>
                  </pic:spPr>
                </pic:pic>
              </a:graphicData>
            </a:graphic>
          </wp:anchor>
        </w:drawing>
        <w:t xml:space="preserve">Пр.Мира,15А</w:t>
      </w:r>
    </w:p>
    <w:p>
      <w:pPr>
        <w:bidi w:val="off"/>
        <w:spacing w:before="0" w:after="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г. Орск</w:t>
      </w:r>
    </w:p>
    <w:p>
      <w:pPr>
        <w:bidi w:val="off"/>
        <w:spacing w:before="0" w:after="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  <w:t xml:space="preserve">Оренбургская область, РФ</w:t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</w:p>
    <w:p>
      <w:pPr>
        <w:bidi w:val="off"/>
        <w:spacing w:before="160" w:after="160" w:line="276" w:lineRule="auto"/>
        <w:ind w:left="0" w:firstLine="0"/>
        <w:jc w:val="left"/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pPr>
      <w:r>
        <w:rPr>
          <w:rFonts w:ascii="Segoe UI" w:hAnsi="Segoe UI" w:cs="Segoe UI"/>
          <w:b w:val="off"/>
          <w:bCs w:val="off"/>
          <w:i w:val="off"/>
          <w:iCs w:val="off"/>
          <w:color w:val="000000"/>
          <w:sz w:val="24"/>
          <w:szCs w:val="24"/>
          <w:u w:val="none"/>
        </w:rPr>
      </w:r>
    </w:p>
    <w:sectPr>
      <w:headerReference r:id="rId4" w:type="default"/>
      <w:footerReference r:id="rId5" w:type="default"/>
    </w:sectPr>
  </w:body>
</w:document>
</file>

<file path=word/footer.xml><?xml version="1.0" encoding="utf-8"?>
<w:ftr xmlns:w="http://schemas.openxmlformats.org/wordprocessingml/2006/main">
  <w:p>
    <w:pPr>
      <w:bidi w:val="off"/>
      <w:spacing w:before="0" w:after="0" w:line="276" w:lineRule="auto"/>
      <w:ind w:left="0" w:firstLine="0"/>
      <w:jc w:val="left"/>
    </w:pPr>
    <w:r>
      <w:rPr>
        <w:rFonts w:ascii="Arial" w:hAnsi="Arial" w:cs="Arial"/>
        <w:b w:val="on"/>
        <w:bCs w:val="on"/>
        <w:i w:val="off"/>
        <w:iCs w:val="off"/>
        <w:color w:val="000000"/>
        <w:sz w:val="20"/>
        <w:szCs w:val="20"/>
        <w:u w:val="none"/>
      </w:rPr>
      <w:t xml:space="preserve"/>
    </w:r>
  </w:p>
</w:ftr>
</file>

<file path=word/footer_empty.xml><?xml version="1.0" encoding="utf-8"?>
<w:ftr xmlns:w="http://schemas.openxmlformats.org/wordprocessingml/2006/main">
  <w:p>
    <w:pPr>
      <w:bidi w:val="off"/>
      <w:spacing w:before="0" w:after="0" w:line="276" w:lineRule="auto"/>
      <w:ind w:left="0" w:firstLine="0"/>
      <w:jc w:val="left"/>
    </w:pPr>
    <w:r>
      <w:rPr>
        <w:rFonts w:ascii="Arial" w:hAnsi="Arial" w:cs="Arial"/>
        <w:b w:val="on"/>
        <w:bCs w:val="on"/>
        <w:i w:val="off"/>
        <w:iCs w:val="off"/>
        <w:color w:val="000000"/>
        <w:sz w:val="20"/>
        <w:szCs w:val="20"/>
        <w:u w:val="none"/>
      </w:rPr>
    </w:r>
  </w:p>
</w:ftr>
</file>

<file path=word/header.xml><?xml version="1.0" encoding="utf-8"?>
<w:hdr xmlns:w="http://schemas.openxmlformats.org/wordprocessingml/2006/main">
  <w:p>
    <w:pPr>
      <w:bidi w:val="off"/>
      <w:spacing w:before="0" w:after="0" w:line="276" w:lineRule="auto"/>
      <w:ind w:left="0" w:firstLine="0"/>
      <w:jc w:val="left"/>
    </w:pPr>
    <w:r>
      <w:rPr>
        <w:rFonts w:ascii="Arial" w:hAnsi="Arial" w:cs="Arial"/>
        <w:b w:val="on"/>
        <w:bCs w:val="on"/>
        <w:i w:val="off"/>
        <w:iCs w:val="off"/>
        <w:color w:val="000000"/>
        <w:sz w:val="20"/>
        <w:szCs w:val="20"/>
        <w:u w:val="none"/>
      </w:rPr>
      <w:t xml:space="preserve">Руководство пользователя</w:t>
      <w:ptab w:relativeTo="indent" w:alignment="right" w:leader="none"/>
      <w:fldChar w:fldCharType="begin"/>
      <w:instrText>PAGE</w:instrText>
      <w:fldChar w:fldCharType="separate"/>
      <w:t>NN</w:t>
      <w:fldChar w:fldCharType="end"/>
    </w:r>
  </w:p>
</w:hdr>
</file>

<file path=word/header_empty.xml><?xml version="1.0" encoding="utf-8"?>
<w:hdr xmlns:w="http://schemas.openxmlformats.org/wordprocessingml/2006/main">
  <w:p>
    <w:pPr>
      <w:bidi w:val="off"/>
      <w:spacing w:before="0" w:after="0" w:line="276" w:lineRule="auto"/>
      <w:ind w:left="0" w:firstLine="0"/>
      <w:jc w:val="left"/>
    </w:pPr>
    <w:r>
      <w:rPr>
        <w:rFonts w:ascii="Arial" w:hAnsi="Arial" w:cs="Arial"/>
        <w:b w:val="on"/>
        <w:bCs w:val="on"/>
        <w:i w:val="off"/>
        <w:iCs w:val="off"/>
        <w:color w:val="000000"/>
        <w:sz w:val="20"/>
        <w:szCs w:val="20"/>
        <w:u w:val="none"/>
      </w:rPr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suff w:val="tab"/>
      <w:lvlText w:val="%1. "/>
      <w:pPr>
        <w:ind w:left="0" w:firstLine="0"/>
      </w:pPr>
    </w:lvl>
    <w:lvl w:ilvl="1">
      <w:start w:val="1"/>
      <w:numFmt w:val="bullet"/>
      <w:suff w:val="tab"/>
      <w:lvlText w:val="• "/>
      <w:pPr>
        <w:ind w:left="270" w:firstLine="0"/>
      </w:pPr>
    </w:lvl>
    <w:lvl w:ilvl="2">
      <w:start w:val="1"/>
      <w:numFmt w:val="decimal"/>
      <w:suff w:val="tab"/>
      <w:lvlText w:val="%3. "/>
      <w:pPr>
        <w:ind w:left="1500" w:firstLine="0"/>
      </w:pPr>
    </w:lvl>
    <w:lvl w:ilvl="3">
      <w:start w:val="1"/>
      <w:numFmt w:val="decimal"/>
      <w:suff w:val="tab"/>
      <w:lvlText w:val="%4. "/>
      <w:pPr>
        <w:ind w:left="2250" w:firstLine="0"/>
      </w:pPr>
    </w:lvl>
    <w:lvl w:ilvl="4">
      <w:start w:val="1"/>
      <w:numFmt w:val="decimal"/>
      <w:suff w:val="tab"/>
      <w:lvlText w:val="%5. "/>
      <w:pPr>
        <w:ind w:left="3000" w:firstLine="0"/>
      </w:pPr>
    </w:lvl>
    <w:lvl w:ilvl="5">
      <w:start w:val="1"/>
      <w:numFmt w:val="decimal"/>
      <w:suff w:val="tab"/>
      <w:lvlText w:val="%6. "/>
      <w:pPr>
        <w:ind w:left="3750" w:firstLine="0"/>
      </w:pPr>
    </w:lvl>
    <w:lvl w:ilvl="6">
      <w:start w:val="1"/>
      <w:numFmt w:val="decimal"/>
      <w:suff w:val="tab"/>
      <w:lvlText w:val="%7. "/>
      <w:pPr>
        <w:ind w:left="4500" w:firstLine="0"/>
      </w:pPr>
    </w:lvl>
    <w:lvl w:ilvl="7">
      <w:start w:val="1"/>
      <w:numFmt w:val="decimal"/>
      <w:suff w:val="tab"/>
      <w:lvlText w:val="%8. "/>
      <w:pPr>
        <w:ind w:left="5250" w:firstLine="0"/>
      </w:pPr>
    </w:lvl>
    <w:lvl w:ilvl="8">
      <w:start w:val="1"/>
      <w:numFmt w:val="decimal"/>
      <w:suff w:val="tab"/>
      <w:lvlText w:val="%9. "/>
      <w:pPr>
        <w:ind w:left="6000" w:firstLine="0"/>
      </w:pPr>
    </w:lvl>
  </w:abstractNum>
  <w:abstractNum w:abstractNumId="2">
    <w:lvl w:ilvl="0">
      <w:start w:val="1"/>
      <w:numFmt w:val="decimal"/>
      <w:suff w:val="tab"/>
      <w:lvlText w:val="%1. "/>
      <w:pPr>
        <w:ind w:left="0" w:firstLine="0"/>
      </w:pPr>
    </w:lvl>
    <w:lvl w:ilvl="1">
      <w:start w:val="1"/>
      <w:numFmt w:val="bullet"/>
      <w:suff w:val="tab"/>
      <w:lvlText w:val="• "/>
      <w:pPr>
        <w:ind w:left="270" w:firstLine="0"/>
      </w:pPr>
    </w:lvl>
    <w:lvl w:ilvl="2">
      <w:start w:val="1"/>
      <w:numFmt w:val="decimal"/>
      <w:suff w:val="tab"/>
      <w:lvlText w:val="%3. "/>
      <w:pPr>
        <w:ind w:left="1500" w:firstLine="0"/>
      </w:pPr>
    </w:lvl>
    <w:lvl w:ilvl="3">
      <w:start w:val="1"/>
      <w:numFmt w:val="decimal"/>
      <w:suff w:val="tab"/>
      <w:lvlText w:val="%4. "/>
      <w:pPr>
        <w:ind w:left="2250" w:firstLine="0"/>
      </w:pPr>
    </w:lvl>
    <w:lvl w:ilvl="4">
      <w:start w:val="1"/>
      <w:numFmt w:val="decimal"/>
      <w:suff w:val="tab"/>
      <w:lvlText w:val="%5. "/>
      <w:pPr>
        <w:ind w:left="3000" w:firstLine="0"/>
      </w:pPr>
    </w:lvl>
    <w:lvl w:ilvl="5">
      <w:start w:val="1"/>
      <w:numFmt w:val="decimal"/>
      <w:suff w:val="tab"/>
      <w:lvlText w:val="%6. "/>
      <w:pPr>
        <w:ind w:left="3750" w:firstLine="0"/>
      </w:pPr>
    </w:lvl>
    <w:lvl w:ilvl="6">
      <w:start w:val="1"/>
      <w:numFmt w:val="decimal"/>
      <w:suff w:val="tab"/>
      <w:lvlText w:val="%7. "/>
      <w:pPr>
        <w:ind w:left="4500" w:firstLine="0"/>
      </w:pPr>
    </w:lvl>
    <w:lvl w:ilvl="7">
      <w:start w:val="1"/>
      <w:numFmt w:val="decimal"/>
      <w:suff w:val="tab"/>
      <w:lvlText w:val="%8. "/>
      <w:pPr>
        <w:ind w:left="5250" w:firstLine="0"/>
      </w:pPr>
    </w:lvl>
    <w:lvl w:ilvl="8">
      <w:start w:val="1"/>
      <w:numFmt w:val="decimal"/>
      <w:suff w:val="tab"/>
      <w:lvlText w:val="%9. "/>
      <w:pPr>
        <w:ind w:left="6000" w:firstLine="0"/>
      </w:pPr>
    </w:lvl>
  </w:abstractNum>
  <w:abstractNum w:abstractNumId="3">
    <w:lvl w:ilvl="0">
      <w:start w:val="1"/>
      <w:numFmt w:val="bullet"/>
      <w:suff w:val="tab"/>
      <w:lvlText w:val="• "/>
      <w:pPr>
        <w:ind w:left="0" w:firstLine="0"/>
      </w:pPr>
    </w:lvl>
    <w:lvl w:ilvl="1">
      <w:start w:val="1"/>
      <w:numFmt w:val="decimal"/>
      <w:suff w:val="tab"/>
      <w:lvlText w:val="%2. "/>
      <w:pPr>
        <w:ind w:left="750" w:firstLine="0"/>
      </w:pPr>
    </w:lvl>
    <w:lvl w:ilvl="2">
      <w:start w:val="1"/>
      <w:numFmt w:val="decimal"/>
      <w:suff w:val="tab"/>
      <w:lvlText w:val="%3. "/>
      <w:pPr>
        <w:ind w:left="1500" w:firstLine="0"/>
      </w:pPr>
    </w:lvl>
    <w:lvl w:ilvl="3">
      <w:start w:val="1"/>
      <w:numFmt w:val="decimal"/>
      <w:suff w:val="tab"/>
      <w:lvlText w:val="%4. "/>
      <w:pPr>
        <w:ind w:left="2250" w:firstLine="0"/>
      </w:pPr>
    </w:lvl>
    <w:lvl w:ilvl="4">
      <w:start w:val="1"/>
      <w:numFmt w:val="decimal"/>
      <w:suff w:val="tab"/>
      <w:lvlText w:val="%5. "/>
      <w:pPr>
        <w:ind w:left="3000" w:firstLine="0"/>
      </w:pPr>
    </w:lvl>
    <w:lvl w:ilvl="5">
      <w:start w:val="1"/>
      <w:numFmt w:val="decimal"/>
      <w:suff w:val="tab"/>
      <w:lvlText w:val="%6. "/>
      <w:pPr>
        <w:ind w:left="3750" w:firstLine="0"/>
      </w:pPr>
    </w:lvl>
    <w:lvl w:ilvl="6">
      <w:start w:val="1"/>
      <w:numFmt w:val="decimal"/>
      <w:suff w:val="tab"/>
      <w:lvlText w:val="%7. "/>
      <w:pPr>
        <w:ind w:left="4500" w:firstLine="0"/>
      </w:pPr>
    </w:lvl>
    <w:lvl w:ilvl="7">
      <w:start w:val="1"/>
      <w:numFmt w:val="decimal"/>
      <w:suff w:val="tab"/>
      <w:lvlText w:val="%8. "/>
      <w:pPr>
        <w:ind w:left="5250" w:firstLine="0"/>
      </w:pPr>
    </w:lvl>
    <w:lvl w:ilvl="8">
      <w:start w:val="1"/>
      <w:numFmt w:val="decimal"/>
      <w:suff w:val="tab"/>
      <w:lvlText w:val="%9. "/>
      <w:pPr>
        <w:ind w:left="6000" w:firstLine="0"/>
      </w:pPr>
    </w:lvl>
  </w:abstractNum>
  <w:abstractNum w:abstractNumId="4">
    <w:lvl w:ilvl="0">
      <w:start w:val="1"/>
      <w:numFmt w:val="bullet"/>
      <w:suff w:val="tab"/>
      <w:lvlText w:val="• "/>
      <w:pPr>
        <w:ind w:left="0" w:firstLine="0"/>
      </w:pPr>
    </w:lvl>
    <w:lvl w:ilvl="1">
      <w:start w:val="1"/>
      <w:numFmt w:val="decimal"/>
      <w:suff w:val="tab"/>
      <w:lvlText w:val="%2. "/>
      <w:pPr>
        <w:ind w:left="750" w:firstLine="0"/>
      </w:pPr>
    </w:lvl>
    <w:lvl w:ilvl="2">
      <w:start w:val="1"/>
      <w:numFmt w:val="decimal"/>
      <w:suff w:val="tab"/>
      <w:lvlText w:val="%3. "/>
      <w:pPr>
        <w:ind w:left="1500" w:firstLine="0"/>
      </w:pPr>
    </w:lvl>
    <w:lvl w:ilvl="3">
      <w:start w:val="1"/>
      <w:numFmt w:val="decimal"/>
      <w:suff w:val="tab"/>
      <w:lvlText w:val="%4. "/>
      <w:pPr>
        <w:ind w:left="2250" w:firstLine="0"/>
      </w:pPr>
    </w:lvl>
    <w:lvl w:ilvl="4">
      <w:start w:val="1"/>
      <w:numFmt w:val="decimal"/>
      <w:suff w:val="tab"/>
      <w:lvlText w:val="%5. "/>
      <w:pPr>
        <w:ind w:left="3000" w:firstLine="0"/>
      </w:pPr>
    </w:lvl>
    <w:lvl w:ilvl="5">
      <w:start w:val="1"/>
      <w:numFmt w:val="decimal"/>
      <w:suff w:val="tab"/>
      <w:lvlText w:val="%6. "/>
      <w:pPr>
        <w:ind w:left="3750" w:firstLine="0"/>
      </w:pPr>
    </w:lvl>
    <w:lvl w:ilvl="6">
      <w:start w:val="1"/>
      <w:numFmt w:val="decimal"/>
      <w:suff w:val="tab"/>
      <w:lvlText w:val="%7. "/>
      <w:pPr>
        <w:ind w:left="4500" w:firstLine="0"/>
      </w:pPr>
    </w:lvl>
    <w:lvl w:ilvl="7">
      <w:start w:val="1"/>
      <w:numFmt w:val="decimal"/>
      <w:suff w:val="tab"/>
      <w:lvlText w:val="%8. "/>
      <w:pPr>
        <w:ind w:left="5250" w:firstLine="0"/>
      </w:pPr>
    </w:lvl>
    <w:lvl w:ilvl="8">
      <w:start w:val="1"/>
      <w:numFmt w:val="decimal"/>
      <w:suff w:val="tab"/>
      <w:lvlText w:val="%9. "/>
      <w:pPr>
        <w:ind w:left="6000" w:firstLine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defaultTabStop w:val="0"/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b w:val="off"/>
        <w:bCs w:val="off"/>
        <w:i w:val="off"/>
        <w:iCs w:val="off"/>
        <w:color w:val="000000"/>
        <w:sz w:val="24"/>
        <w:szCs w:val="24"/>
        <w:u w:val="none"/>
      </w:rPr>
    </w:rPrDefault>
    <w:pPrDefault>
      <w:pPr>
        <w:bidi w:val="off"/>
        <w:spacing w:before="0" w:after="0" w:line="276" w:lineRule="auto"/>
        <w:ind w:left="0" w:firstLine="0"/>
        <w:jc w:val="left"/>
      </w:pPr>
    </w:pPrDefault>
  </w:docDefaults>
  <w:style w:type="paragraph" w:styleId="a" w:default="1">
    <w:name w:val="Normal"/>
    <w:qFormat/>
  </w:style>
  <w:style w:type="paragraph" w:styleId="1">
    <w:name w:val="Heading 1"/>
    <w:qFormat/>
  </w:style>
  <w:style w:type="paragraph" w:styleId="2">
    <w:name w:val="Heading 2"/>
    <w:qFormat/>
  </w:style>
  <w:style w:type="table" w:styleId="Table1"/>
  <w:style w:type="table" w:styleId="Table2"/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header" Target="header.xml"/>
<Relationship Id="rId6" Type="http://schemas.openxmlformats.org/officeDocument/2006/relationships/header" Target="header_empty.xml"/>
<Relationship Id="rId5" Type="http://schemas.openxmlformats.org/officeDocument/2006/relationships/footer" Target="footer.xml"/>
<Relationship Id="rId7" Type="http://schemas.openxmlformats.org/officeDocument/2006/relationships/footer" Target="footer_empty.xml"/>
<Relationship Id="rId8" Type="http://schemas.openxmlformats.org/officeDocument/2006/relationships/image" Target="media/drex_index_custom.png"/>
<Relationship Id="rId9" Type="http://schemas.openxmlformats.org/officeDocument/2006/relationships/image" Target="media/textbox_icon_circle-info_24_9859121.png"/>
<Relationship Id="rId12" Type="http://schemas.openxmlformats.org/officeDocument/2006/relationships/image" Target="media/drex_module_4_1_custom.png"/>
<Relationship Id="rId13" Type="http://schemas.openxmlformats.org/officeDocument/2006/relationships/image" Target="media/drex_module_8_custom.png"/>
<Relationship Id="rId10" Type="http://schemas.openxmlformats.org/officeDocument/2006/relationships/hyperlink" Target="https://www.drexplain.ru/contact/" TargetMode="External"/>
<Relationship Id="rId11" Type="http://schemas.openxmlformats.org/officeDocument/2006/relationships/hyperlink" Target="https://github.com/Anatidaef0b/Coursework-Rostavletov" TargetMode="External"/>
</Relationships>
</file>