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10. Иная документация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Расчёты</w:t>
      </w:r>
    </w:p>
    <w:p>
      <w:pPr>
        <w:pStyle w:val="Marker"/>
      </w:pPr>
      <w:r>
        <w:t xml:space="preserve">{{БЛОК:РАСЧЁТЫ_СЛЕД}}</w:t>
      </w:r>
    </w:p>
    <w:p>
      <w:pPr>
        <w:pStyle w:val="Heading1"/>
        <w:keepNext/>
      </w:pPr>
      <w:r>
        <w:t xml:space="preserve">2 Метрологическое обеспечение</w:t>
      </w:r>
    </w:p>
    <w:p>
      <w:pPr>
        <w:pStyle w:val="Body"/>
      </w:pPr>
      <w:r>
        <w:t xml:space="preserve">Раздел выполнен с учётом требований к метрологической экспертизе проектной документации: для каждого контролируемого параметра приведены номинальное значение, допуск, нормативный документ, методика и периодичность контроля, требования к средствам измерений.</w:t>
      </w:r>
    </w:p>
    <w:p>
      <w:pPr>
        <w:pStyle w:val="Marker"/>
      </w:pPr>
      <w:r>
        <w:t xml:space="preserve">{{ТАБЛИЦА:МЕТРОЛОГИЯ}}</w:t>
      </w:r>
    </w:p>
    <w:p>
      <w:pPr>
        <w:pStyle w:val="Heading1"/>
        <w:keepNext/>
      </w:pPr>
      <w:r>
        <w:t xml:space="preserve">3 Отчёт по пункту 13 Правил</w:t>
      </w:r>
    </w:p>
    <w:p>
      <w:pPr>
        <w:pStyle w:val="Body"/>
      </w:pPr>
      <w:r>
        <w:t xml:space="preserve">Отчёт от </w:t>
      </w:r>
      <w:r>
        <w:t xml:space="preserve">{{ОТЧЁТ_П13_ДАТА}}</w:t>
      </w:r>
      <w:r>
        <w:t xml:space="preserve"> № </w:t>
      </w:r>
      <w:r>
        <w:t xml:space="preserve">{{ОТЧЁТ_П13_НОМЕР}}</w:t>
      </w:r>
      <w:r>
        <w:t xml:space="preserve"> включён в состав исходных данных (контрольная сумма SHA-256 файла: </w:t>
      </w:r>
      <w:r>
        <w:t xml:space="preserve">{{ОТЧЁТ_П13_ХЭШ}}</w:t>
      </w:r>
      <w:r>
        <w:t xml:space="preserve">).</w:t>
      </w:r>
    </w:p>
    <w:p>
      <w:pPr>
        <w:pStyle w:val="Marker"/>
      </w:pPr>
      <w:r>
        <w:t xml:space="preserve">{{ЕСЛИ:ПРОФИЛЬ_ВЫМПЕЛКОМ}}</w:t>
      </w:r>
    </w:p>
    <w:p>
      <w:pPr>
        <w:pStyle w:val="Heading1"/>
        <w:keepNext/>
      </w:pPr>
      <w:r>
        <w:t xml:space="preserve">4 Акт выбора трассы</w:t>
      </w:r>
    </w:p>
    <w:p>
      <w:pPr>
        <w:pStyle w:val="Marker"/>
      </w:pPr>
      <w:r>
        <w:t xml:space="preserve">{{БЛОК:АКТ_ВЫБОРА_ТРАССЫ}}</w:t>
      </w:r>
    </w:p>
    <w:p>
      <w:pPr>
        <w:pStyle w:val="Marker"/>
      </w:pPr>
      <w:r>
        <w:t xml:space="preserve">{{КОНЕЦ}}</w:t>
      </w:r>
    </w:p>
    <w:p>
      <w:pPr>
        <w:pStyle w:val="Heading1"/>
        <w:keepNext/>
      </w:pPr>
      <w:r>
        <w:t xml:space="preserve">5 Лист внутреннего контроля</w:t>
      </w:r>
    </w:p>
    <w:p>
      <w:pPr>
        <w:pStyle w:val="Marker"/>
      </w:pPr>
      <w:r>
        <w:t xml:space="preserve">{{ТАБЛИЦА:АУДИТ}}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1.2.0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10. Иная документация</dc:title>
  <dc:creator>PD_RD</dc:creator>
  <dc:description>Шаблон PD_RD 1.2.0; код тома ИД; раздел ПД 10</dc:description>
  <dcterms:created xsi:type="dcterms:W3CDTF">2026-01-01T00:00:00Z</dcterms:created>
</cp:coreProperties>
</file>