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PD_RD — инструкция пользователя</w:t>
      </w:r>
    </w:p>
    <w:p>
      <w:pPr>
        <w:spacing w:after="240"/>
      </w:pPr>
      <w:r>
        <w:rPr>
          <w:i/>
          <w:iCs/>
        </w:rPr>
        <w:t xml:space="preserve">Подготовка проектной и рабочей документации на размещение ВОЛС на опорах ВЛ 0,4–110 кВ. Версия 1.3.0</w:t>
      </w:r>
    </w:p>
    <w:p>
      <w:pPr>
        <w:pStyle w:val="Heading1"/>
      </w:pPr>
      <w:r>
        <w:t xml:space="preserve">1. Назначение</w:t>
      </w:r>
    </w:p>
    <w:p>
      <w:pPr>
        <w:spacing w:after="120"/>
      </w:pPr>
      <w:r>
        <w:t xml:space="preserve">PD_RD собирает комплект проектной (ПД) и рабочей (РД) документации на размещение волоконно-оптических линий связи на опорах воздушных линий филиала ПАО «Россети Юг» — «Кубаньэнерго» из отчёта по пункту 13 Правил (ПП РФ № 2106), подготовленного в АРМ ППО, технического задания оператора и проектных решений.</w:t>
      </w:r>
    </w:p>
    <w:p>
      <w:pPr>
        <w:spacing w:after="120"/>
      </w:pPr>
      <w:r>
        <w:t xml:space="preserve">Инструмент работает в браузере (компьютер или iPad). Данные никуда не передаются и хранятся в браузере; резервная копия сохраняется в файл </w:t>
      </w:r>
      <w:r>
        <w:rPr>
          <w:rFonts w:ascii="Consolas" w:cs="Consolas" w:eastAsia="Consolas" w:hAnsi="Consolas"/>
        </w:rPr>
        <w:t xml:space="preserve">.pdrd</w:t>
      </w:r>
      <w:r>
        <w:t xml:space="preserve">.</w:t>
      </w:r>
    </w:p>
    <w:p>
      <w:pPr>
        <w:spacing w:after="120"/>
      </w:pPr>
      <w:r>
        <w:t xml:space="preserve">Адрес: https://anatoliy031.github.io/PD_RD/</w:t>
      </w:r>
    </w:p>
    <w:p>
      <w:pPr>
        <w:spacing w:after="120"/>
      </w:pPr>
      <w:r>
        <w:t xml:space="preserve">Два режима: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Разработка</w:t>
      </w:r>
      <w:r>
        <w:t xml:space="preserve"> — филиал выполняет ПИР для пользователя инфраструктуры;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Проверка</w:t>
      </w:r>
      <w:r>
        <w:t xml:space="preserve"> — филиал как владелец ВЛ рассматривает проект оператора и выдаёт лист замечаний (страница «Проверка проекта»).</w:t>
      </w:r>
    </w:p>
    <w:p>
      <w:pPr>
        <w:pStyle w:val="Heading1"/>
      </w:pPr>
      <w:r>
        <w:t xml:space="preserve">2. Порядок работы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Исходные данные.</w:t>
      </w:r>
      <w:r>
        <w:t xml:space="preserve"> Загрузите отчёт по п. 13 (</w:t>
      </w:r>
      <w:r>
        <w:rPr>
          <w:rFonts w:ascii="Consolas" w:cs="Consolas" w:eastAsia="Consolas" w:hAnsi="Consolas"/>
        </w:rPr>
        <w:t xml:space="preserve">.docx</w:t>
      </w:r>
      <w:r>
        <w:t xml:space="preserve">, выпущенный АРМ ППО) или резервную копию осмотра АРМ ППО (</w:t>
      </w:r>
      <w:r>
        <w:rPr>
          <w:rFonts w:ascii="Consolas" w:cs="Consolas" w:eastAsia="Consolas" w:hAnsi="Consolas"/>
        </w:rPr>
        <w:t xml:space="preserve">.json</w:t>
      </w:r>
      <w:r>
        <w:t xml:space="preserve">). Проверьте результат входного контроля, скачайте лист входного контроля и направьте запросы владельцу и пользователю. Нажмите «Принять в проект».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Проект.</w:t>
      </w:r>
      <w:r>
        <w:t xml:space="preserve"> Заполните паспорт: шифр, подписи, заказчик, ТЗ, договор, СРО, правовые решения (разрешение, ДПТ, экспертиза) со ссылками на нормы, изыскания, состав разделов, документы на кабель, пересечения, метрологию.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Расчёты.</w:t>
      </w:r>
      <w:r>
        <w:t xml:space="preserve"> Внесите климатические температуры (СП 131.13330.2020), паспорт кабеля (EA, α, МДРН), провода ВЛ по классам (данные владельца), размеры стоек и несущую способность анкерных опор по типовым проектам. Нажмите «Сохранить и рассчитать». Перечень недостающих данных показывается над результатами.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Решения.</w:t>
      </w:r>
      <w:r>
        <w:t xml:space="preserve"> Задайте строительную длину, запас у муфт, длину пролёта для гасителей. Нажмите «Предложить решения» — программа примет решения по каждой опоре, подберёт высоты подвеса и пересчитает габариты. Исправьте решения вручную, где нужно (ручные решения помечаются и не перезаписываются).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Муфты и запасы.</w:t>
      </w:r>
      <w:r>
        <w:t xml:space="preserve"> По умолчанию действует режим «вручную»: отметьте в столбце «Муфта» опоры, указанные заказчиком, выберите тип муфты и длину запаса. Поиск опоры по номеру — в поле над таблицей. Режим «автоматически» расставляет муфты в точках ветвления и на стыках строительных длин.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Чертежи.</w:t>
      </w:r>
      <w:r>
        <w:t xml:space="preserve"> Подложка ситуационного плана: выберите источник — Яндекс (схема, спутник, гибрид), Google (схема, спутник, гибрид), OpenStreetMap или свой сервис тайлов — и нажмите «Загрузить карту по трассе». Карта привяжется по координатам, развернётся вместе с планом и обрежется по рамке. Яндекс и Google не разрешают программе читать изображения тайлов: их карта видна в просмотре и на печати (в том числе «Печать → Сохранить как PDF»), но не войдёт в PDF из программы и в архив DXF. Для PDF и DXF используйте OpenStreetMap, свой сервис или своё изображение (выкопировку, снимок) с указанием координат углов, как в Google Earth. Постройте листы, скачайте PDF и DXF: в архив DXF кладутся растр и файл привязки </w:t>
      </w:r>
      <w:r>
        <w:rPr>
          <w:rFonts w:ascii="Consolas" w:cs="Consolas" w:eastAsia="Consolas" w:hAnsi="Consolas"/>
        </w:rPr>
        <w:t xml:space="preserve">.jgw</w:t>
      </w:r>
      <w:r>
        <w:t xml:space="preserve"> — в САПР он подключается командой вставки растрового изображения.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Спецификация.</w:t>
      </w:r>
      <w:r>
        <w:t xml:space="preserve"> Проверьте длины и количества; скачайте ведомости (XLSX) и трассу (KMZ).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Выпуск.</w:t>
      </w:r>
      <w:r>
        <w:t xml:space="preserve"> На главной странице выполните аудит. Пока есть блокирующие несоответствия, доступен только черновой комплект (файлы с пометкой CHERNOVIK). После устранения несоответствий — «Выпустить комплект».</w:t>
      </w:r>
    </w:p>
    <w:p>
      <w:pPr>
        <w:pStyle w:val="Heading1"/>
      </w:pPr>
      <w:r>
        <w:t xml:space="preserve">3. Шлюз выпуска</w:t>
      </w:r>
    </w:p>
    <w:p>
      <w:pPr>
        <w:spacing w:after="120"/>
      </w:pPr>
      <w:r>
        <w:t xml:space="preserve">Каждое несоответствие блокирует выпуск. Обойти его можно только решением ответственного лица: обоснование не короче 40 символов и Ф.И.О. (например, «Куличкин Е.В.»). Решение сохраняется в проекте и печатается в листе внутреннего контроля (том «Иная документация»).</w:t>
      </w:r>
    </w:p>
    <w:p>
      <w:pPr>
        <w:spacing w:after="120"/>
      </w:pPr>
      <w:r>
        <w:t xml:space="preserve">Не обходите решением отсутствие исходных данных для расчёта: без них выводы о несущей способности не обоснованы.</w:t>
      </w:r>
    </w:p>
    <w:p>
      <w:pPr>
        <w:pStyle w:val="Heading1"/>
      </w:pPr>
      <w:r>
        <w:t xml:space="preserve">4. Состав комплекта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Папка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Содержимое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0_Vhodnoj_kontrol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Лист входного контроля исходных данных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1_PD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Разделы 1–10 ПД по п. 32 Положения (ПП РФ № 87)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2_RD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Том РД «Линейно-кабельные сооружения» (DOCX) и чертежи (PDF, А3)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3_Chertezhi_DXF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Чертежи в DXF R12 — один лист, один файл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3_Vedomosti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Ведомости и спецификация (XLSX), трасса (KMZ)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4_Proekt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Файл проекта </w:t>
            </w:r>
            <w:r>
              <w:rPr>
                <w:rFonts w:ascii="Consolas" w:cs="Consolas" w:eastAsia="Consolas" w:hAnsi="Consolas"/>
              </w:rPr>
              <w:t xml:space="preserve">.pdrd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Opis.txt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Опись с размерами и контрольными суммами SHA-256</w:t>
            </w:r>
          </w:p>
        </w:tc>
      </w:tr>
    </w:tbl>
    <w:p/>
    <w:p>
      <w:pPr>
        <w:spacing w:after="120"/>
      </w:pPr>
      <w:r>
        <w:t xml:space="preserve">PDF текстовых томов получают в Word или «Р7-Офис» («Сохранить как PDF»); при открытии тома подтвердите обновление полей — проставятся номера листов в содержании.</w:t>
      </w:r>
    </w:p>
    <w:p>
      <w:pPr>
        <w:pStyle w:val="Heading1"/>
      </w:pPr>
      <w:r>
        <w:t xml:space="preserve">5. Что запросить до выпуска</w:t>
      </w:r>
    </w:p>
    <w:p>
      <w:pPr>
        <w:pStyle w:val="ListParagraph"/>
        <w:numPr>
          <w:ilvl w:val="0"/>
          <w:numId w:val="2"/>
        </w:numPr>
      </w:pPr>
      <w:r>
        <w:t xml:space="preserve">у владельца ВЛ (ЭС): марка, число, диаметр, масса, высота подвеса, тяжение и наибольшая стрела проводов по каждому классу напряжения; паспорта ВЛ; ответы на запросы входного контроля;</w:t>
      </w:r>
    </w:p>
    <w:p>
      <w:pPr>
        <w:pStyle w:val="ListParagraph"/>
        <w:numPr>
          <w:ilvl w:val="0"/>
          <w:numId w:val="2"/>
        </w:numPr>
      </w:pPr>
      <w:r>
        <w:t xml:space="preserve">у пользователя (оператора): паспорт кабеля (EA, α, МДРН, срок службы, трекингостойкость), декларацию соответствия, техническую политику по запасам и муфтам;</w:t>
      </w:r>
    </w:p>
    <w:p>
      <w:pPr>
        <w:pStyle w:val="ListParagraph"/>
        <w:numPr>
          <w:ilvl w:val="0"/>
          <w:numId w:val="2"/>
        </w:numPr>
      </w:pPr>
      <w:r>
        <w:t xml:space="preserve">в филиале: утверждённые шифр и марки, каталог кабелей и арматуры, реквизиты СРО, Ф.И.О. «Разработал», «Проверил», «Н. контроль»;</w:t>
      </w:r>
    </w:p>
    <w:p>
      <w:pPr>
        <w:pStyle w:val="ListParagraph"/>
        <w:numPr>
          <w:ilvl w:val="0"/>
          <w:numId w:val="2"/>
        </w:numPr>
      </w:pPr>
      <w:r>
        <w:t xml:space="preserve">по типовым проектам серий 3.407.1-136, 3.407.1-143: размеры стоек и несущая способность анкерных, концевых и ответвительных опор.</w:t>
      </w:r>
    </w:p>
    <w:p>
      <w:pPr>
        <w:pStyle w:val="Heading1"/>
      </w:pPr>
      <w:r>
        <w:t xml:space="preserve">6. Режим проверки</w:t>
      </w:r>
    </w:p>
    <w:p>
      <w:pPr>
        <w:pStyle w:val="ListParagraph"/>
        <w:numPr>
          <w:ilvl w:val="0"/>
          <w:numId w:val="3"/>
        </w:numPr>
      </w:pPr>
      <w:r>
        <w:t xml:space="preserve">Загрузите отчёт по п. 13 на странице «Исходные данные».</w:t>
      </w:r>
    </w:p>
    <w:p>
      <w:pPr>
        <w:pStyle w:val="ListParagraph"/>
        <w:numPr>
          <w:ilvl w:val="0"/>
          <w:numId w:val="3"/>
        </w:numPr>
      </w:pPr>
      <w:r>
        <w:t xml:space="preserve">Внесите параметры из проверяемого проекта (кабель, провода, высоты подвеса, муфты) на страницах «Расчёты» и «Решения» — либо загрузите файл проекта PD_RD от проектировщика на странице «Проверка проекта».</w:t>
      </w:r>
    </w:p>
    <w:p>
      <w:pPr>
        <w:pStyle w:val="ListParagraph"/>
        <w:numPr>
          <w:ilvl w:val="0"/>
          <w:numId w:val="3"/>
        </w:numPr>
      </w:pPr>
      <w:r>
        <w:t xml:space="preserve">Отметьте состав представленной документации, нажмите «Сформировать замечания» и скачайте лист замечаний (DOCX) — каждое замечание со ссылкой на норму.</w:t>
      </w:r>
    </w:p>
    <w:p>
      <w:pPr>
        <w:pStyle w:val="Heading1"/>
      </w:pPr>
      <w:r>
        <w:t xml:space="preserve">7. Демо-проект</w:t>
      </w:r>
    </w:p>
    <w:p>
      <w:pPr>
        <w:spacing w:after="120"/>
      </w:pPr>
      <w:r>
        <w:t xml:space="preserve">Кнопка «Открыть демо-проект» на главной странице загружает вымышленный проект (31 опора) с выполненными импортом, расчётом и решениями. Он предназначен для знакомства с инструментом и проверки после обновлений. Конфиденциальные отчёты в инструмент встроены не будут.</w:t>
      </w:r>
    </w:p>
    <w:p>
      <w:pPr>
        <w:pStyle w:val="Heading1"/>
      </w:pPr>
      <w:r>
        <w:t xml:space="preserve">8. Обновление сайта</w:t>
      </w:r>
    </w:p>
    <w:p>
      <w:pPr>
        <w:spacing w:after="120"/>
      </w:pPr>
      <w:r>
        <w:t xml:space="preserve">Все файлы сайта лежат в корне репозитория; при обновлении загружаются поверх с заменой. Папку </w:t>
      </w:r>
      <w:r>
        <w:rPr>
          <w:rFonts w:ascii="Consolas" w:cs="Consolas" w:eastAsia="Consolas" w:hAnsi="Consolas"/>
        </w:rPr>
        <w:t xml:space="preserve">build/</w:t>
      </w:r>
      <w:r>
        <w:t xml:space="preserve"> загружать на сайт не требуется — она нужна только для пересборки шаблонов.</w:t>
      </w:r>
    </w:p>
    <w:p>
      <w:pPr>
        <w:spacing w:after="120"/>
      </w:pPr>
      <w:r>
        <w:t xml:space="preserve">После обновления откройте страницу «Тесты»: все проверки должны быть пройдены.</w:t>
      </w:r>
    </w:p>
    <w:p>
      <w:pPr>
        <w:pStyle w:val="Heading1"/>
      </w:pPr>
      <w:r>
        <w:t xml:space="preserve">9. Ограничения версии 1.0.0</w:t>
      </w:r>
    </w:p>
    <w:p>
      <w:pPr>
        <w:pStyle w:val="ListParagraph"/>
        <w:numPr>
          <w:ilvl w:val="0"/>
          <w:numId w:val="2"/>
        </w:numPr>
      </w:pPr>
      <w:r>
        <w:t xml:space="preserve">Проект полосы отвода при необходимости ДПТ программой не формируется — прикладывается отдельно.</w:t>
      </w:r>
    </w:p>
    <w:p>
      <w:pPr>
        <w:pStyle w:val="ListParagraph"/>
        <w:numPr>
          <w:ilvl w:val="0"/>
          <w:numId w:val="2"/>
        </w:numPr>
      </w:pPr>
      <w:r>
        <w:t xml:space="preserve">Смета не формируется — только пояснение или обоснование отсутствия.</w:t>
      </w:r>
    </w:p>
    <w:p>
      <w:pPr>
        <w:pStyle w:val="ListParagraph"/>
        <w:numPr>
          <w:ilvl w:val="0"/>
          <w:numId w:val="2"/>
        </w:numPr>
      </w:pPr>
      <w:r>
        <w:t xml:space="preserve">Координаты в DXF — в миллиметрах листа; пересчёт в МСК-23 — по запросу, при наличии параметров. Растровая подложка в DXF не выгружается.</w:t>
      </w:r>
    </w:p>
    <w:p>
      <w:pPr>
        <w:pStyle w:val="ListParagraph"/>
        <w:numPr>
          <w:ilvl w:val="0"/>
          <w:numId w:val="2"/>
        </w:numPr>
      </w:pPr>
      <w:r>
        <w:t xml:space="preserve">Документацию утверждает заместитель директора по развитию и технологическому присоединению А.В. Чепусов (гриф «УТВЕРЖДАЮ» на титульных листах и строка «Утв.» в основной надписи).</w:t>
      </w:r>
    </w:p>
    <w:p>
      <w:pPr>
        <w:pStyle w:val="ListParagraph"/>
        <w:numPr>
          <w:ilvl w:val="0"/>
          <w:numId w:val="2"/>
        </w:numPr>
      </w:pPr>
      <w:r>
        <w:t xml:space="preserve">Значения справочника опор АРМ ППО (допустимые моменты, габаритные пролёты) — типовые и подлежат сверке с альбомами типовых проектов.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003E6B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005B9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PD_RD — инструкция пользователя</dc:title>
  <dc:creator>PD_RD</dc:creator>
  <cp:lastModifiedBy>Un-named</cp:lastModifiedBy>
  <cp:revision>1</cp:revision>
  <dcterms:created xsi:type="dcterms:W3CDTF">2026-09-23T09:03:17.154Z</dcterms:created>
  <dcterms:modified xsi:type="dcterms:W3CDTF">2026-09-23T09:03:17.155Z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