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body>
    <w:p>
      <w:pPr>
        <w:pStyle w:val="TitleRight"/>
        <w:jc w:val="right"/>
      </w:pPr>
      <w:r>
        <w:t xml:space="preserve">УТВЕРЖДАЮ</w:t>
      </w:r>
    </w:p>
    <w:p>
      <w:pPr>
        <w:pStyle w:val="TitleRight"/>
        <w:jc w:val="right"/>
      </w:pPr>
      <w:r>
        <w:t xml:space="preserve">{{УТВ_ДОЛЖН}}</w:t>
      </w:r>
    </w:p>
    <w:p>
      <w:pPr>
        <w:pStyle w:val="TitleRight"/>
        <w:jc w:val="right"/>
      </w:pPr>
      <w:r>
        <w:t xml:space="preserve">_______________ </w:t>
      </w:r>
      <w:r>
        <w:t xml:space="preserve">{{УТВ_ФИО}}</w:t>
      </w:r>
    </w:p>
    <w:p>
      <w:pPr>
        <w:pStyle w:val="TitleRight"/>
        <w:jc w:val="right"/>
      </w:pPr>
      <w:r>
        <w:t xml:space="preserve">«____» _______________ </w:t>
      </w:r>
      <w:r>
        <w:t xml:space="preserve">{{ГОД_ВЫПУСКА}}</w:t>
      </w:r>
      <w:r>
        <w:t xml:space="preserve"> г.</w:t>
      </w:r>
    </w:p>
    <w:p>
      <w:pPr>
        <w:pStyle w:val="Body"/>
        <w:spacing w:before="0" w:after="600"/>
      </w:pPr>
    </w:p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РАБОЧАЯ ДОКУМЕНТАЦИЯ</w:t>
      </w:r>
    </w:p>
    <w:p>
      <w:pPr>
        <w:pStyle w:val="TitleVolume"/>
        <w:jc w:val="center"/>
      </w:pPr>
      <w:r>
        <w:t xml:space="preserve">Линейно-кабельные сооружения. Размещение ВОЛС на опорах ВЛ. Общие данные и ведомости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ContentsHead"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Heading1"/>
        <w:keepNext/>
      </w:pPr>
      <w:r>
        <w:t xml:space="preserve">1 Общие указания</w:t>
      </w:r>
    </w:p>
    <w:p>
      <w:pPr>
        <w:pStyle w:val="Body"/>
      </w:pPr>
      <w:r>
        <w:t xml:space="preserve">Рабочая документация разработана на основании проектной документации </w:t>
      </w:r>
      <w:r>
        <w:t xml:space="preserve">{{ОБОЗНАЧЕНИЕ_ПД}}</w:t>
      </w:r>
      <w:r>
        <w:t xml:space="preserve"> в соответствии с ГОСТ Р 21.101-2020 и ГОСТ Р 21.703-2020.</w:t>
      </w:r>
    </w:p>
    <w:p>
      <w:pPr>
        <w:pStyle w:val="Marker"/>
      </w:pPr>
      <w:r>
        <w:t xml:space="preserve">{{БЛОК:ОБЩИЕ_УКАЗАНИЯ}}</w:t>
      </w:r>
    </w:p>
    <w:p>
      <w:pPr>
        <w:pStyle w:val="Body"/>
      </w:pPr>
      <w:r>
        <w:t xml:space="preserve">Технические решения, принятые в рабочей документации, соответствуют требованиям законодательства Российской Федерации, действующих технических регламентов, стандартов, сводов правил и технических требований ПАО «Россети» (ТТ № 282р).</w:t>
      </w:r>
    </w:p>
    <w:p>
      <w:pPr>
        <w:pStyle w:val="Body"/>
      </w:pPr>
      <w:r>
        <w:t xml:space="preserve">Главный инженер проекта ________________ </w:t>
      </w:r>
      <w:r>
        <w:t xml:space="preserve">{{ГИП_ФИО}}</w:t>
      </w:r>
    </w:p>
    <w:p>
      <w:pPr>
        <w:pStyle w:val="Heading1"/>
        <w:keepNext/>
      </w:pPr>
      <w:r>
        <w:t xml:space="preserve">2 Ведомость рабочих чертежей основного комплекта</w:t>
      </w:r>
    </w:p>
    <w:p>
      <w:pPr>
        <w:pStyle w:val="Marker"/>
      </w:pPr>
      <w:r>
        <w:t xml:space="preserve">{{ТАБЛИЦА:ВЕДОМОСТЬ_ЛИСТОВ}}</w:t>
      </w:r>
    </w:p>
    <w:p>
      <w:pPr>
        <w:pStyle w:val="Heading1"/>
        <w:keepNext/>
      </w:pPr>
      <w:r>
        <w:t xml:space="preserve">3 Ведомость ссылочных и прилагаемых документов</w:t>
      </w:r>
    </w:p>
    <w:p>
      <w:pPr>
        <w:pStyle w:val="Marker"/>
      </w:pPr>
      <w:r>
        <w:t xml:space="preserve">{{ТАБЛИЦА:НОРМЫ}}</w:t>
      </w:r>
    </w:p>
    <w:p>
      <w:pPr>
        <w:pStyle w:val="Heading1"/>
        <w:keepNext/>
      </w:pPr>
      <w:r>
        <w:t xml:space="preserve">4 Ведомость опор</w:t>
      </w:r>
    </w:p>
    <w:p>
      <w:pPr>
        <w:pStyle w:val="Marker"/>
      </w:pPr>
      <w:r>
        <w:t xml:space="preserve">{{ТАБЛИЦА:ОПОРЫ}}</w:t>
      </w:r>
    </w:p>
    <w:p>
      <w:pPr>
        <w:pStyle w:val="Heading1"/>
        <w:keepNext/>
      </w:pPr>
      <w:r>
        <w:t xml:space="preserve">5 Ведомость пролётов</w:t>
      </w:r>
    </w:p>
    <w:p>
      <w:pPr>
        <w:pStyle w:val="Marker"/>
      </w:pPr>
      <w:r>
        <w:t xml:space="preserve">{{ТАБЛИЦА:ПРОЛЁТЫ}}</w:t>
      </w:r>
    </w:p>
    <w:p>
      <w:pPr>
        <w:pStyle w:val="Heading1"/>
        <w:keepNext/>
      </w:pPr>
      <w:r>
        <w:t xml:space="preserve">6 Ведомость пересечений</w:t>
      </w:r>
    </w:p>
    <w:p>
      <w:pPr>
        <w:pStyle w:val="Marker"/>
      </w:pPr>
      <w:r>
        <w:t xml:space="preserve">{{ТАБЛИЦА:ПЕРЕСЕЧЕНИЯ}}</w:t>
      </w:r>
    </w:p>
    <w:p>
      <w:pPr>
        <w:pStyle w:val="Heading1"/>
        <w:keepNext/>
      </w:pPr>
      <w:r>
        <w:t xml:space="preserve">7 Ведомость узлов крепления и арматуры</w:t>
      </w:r>
    </w:p>
    <w:p>
      <w:pPr>
        <w:pStyle w:val="Marker"/>
      </w:pPr>
      <w:r>
        <w:t xml:space="preserve">{{ТАБЛИЦА:УЗЛЫ}}</w:t>
      </w:r>
    </w:p>
    <w:p>
      <w:pPr>
        <w:pStyle w:val="Heading1"/>
        <w:keepNext/>
      </w:pPr>
      <w:r>
        <w:t xml:space="preserve">8 Ведомость муфт, шкафов и запасов</w:t>
      </w:r>
    </w:p>
    <w:p>
      <w:pPr>
        <w:pStyle w:val="Marker"/>
      </w:pPr>
      <w:r>
        <w:t xml:space="preserve">{{ТАБЛИЦА:МУФТЫ}}</w:t>
      </w:r>
    </w:p>
    <w:p>
      <w:pPr>
        <w:pStyle w:val="Heading1"/>
        <w:keepNext/>
      </w:pPr>
      <w:r>
        <w:t xml:space="preserve">9 Ведомость контролируемых параметров</w:t>
      </w:r>
    </w:p>
    <w:p>
      <w:pPr>
        <w:pStyle w:val="Marker"/>
      </w:pPr>
      <w:r>
        <w:t xml:space="preserve">{{ТАБЛИЦА:МЕТРОЛОГИЯ}}</w:t>
      </w:r>
    </w:p>
    <w:p>
      <w:pPr>
        <w:pStyle w:val="Heading1"/>
        <w:keepNext/>
      </w:pPr>
      <w:r>
        <w:t xml:space="preserve">10 Ведомость координат характерных точек</w:t>
      </w:r>
    </w:p>
    <w:p>
      <w:pPr>
        <w:pStyle w:val="Marker"/>
      </w:pPr>
      <w:r>
        <w:t xml:space="preserve">{{ТАБЛИЦА:КООРДИНАТЫ}}</w:t>
      </w:r>
    </w:p>
    <w:p>
      <w:pPr>
        <w:pStyle w:val="Heading1"/>
        <w:keepNext/>
      </w:pPr>
      <w:r>
        <w:t xml:space="preserve">11 Спецификация оборудования, изделий и материалов</w:t>
      </w:r>
    </w:p>
    <w:p>
      <w:pPr>
        <w:pStyle w:val="Marker"/>
      </w:pPr>
      <w:r>
        <w:t xml:space="preserve">{{ТАБЛИЦА:СПЕЦИФИКАЦИЯ}}</w:t>
      </w:r>
    </w:p>
    <w:p>
      <w:pPr>
        <w:pStyle w:val="Heading1"/>
        <w:keepNext/>
      </w:pPr>
      <w:r>
        <w:t xml:space="preserve">12 Ведомость объёмов работ</w:t>
      </w:r>
    </w:p>
    <w:p>
      <w:pPr>
        <w:pStyle w:val="Marker"/>
      </w:pPr>
      <w:r>
        <w:t xml:space="preserve">{{ТАБЛИЦА:ВОР}}</w:t>
      </w:r>
    </w:p>
    <w:p>
      <w:pPr>
        <w:pStyle w:val="Heading1"/>
        <w:keepNext/>
      </w:pPr>
      <w:r>
        <w:t xml:space="preserve">13 Требования к исполнительной документации</w:t>
      </w:r>
    </w:p>
    <w:p>
      <w:pPr>
        <w:pStyle w:val="Marker"/>
      </w:pPr>
      <w:r>
        <w:t xml:space="preserve">{{БЛОК:ИСПОЛНИТЕЛЬНАЯ}}</w:t>
      </w:r>
    </w:p>
    <w:p>
      <w:pPr>
        <w:pStyle w:val="Heading1"/>
        <w:keepNext/>
      </w:pPr>
      <w:r>
        <w:t xml:space="preserve">14 Лист согласования владельцем ВЛ</w:t>
      </w:r>
    </w:p>
    <w:p>
      <w:pPr>
        <w:pStyle w:val="Marker"/>
      </w:pPr>
      <w:r>
        <w:t xml:space="preserve">{{БЛОК:СОГЛАСОВАНИЕ_ВЛАДЕЛЬЦА}}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Утв.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{{УТВ_ФИО}}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pPr w:leftFromText="0" w:rightFromText="0" w:vertAnchor="page" w:horzAnchor="page" w:tblpX="454" w:tblpY="11735"/>
      <w:tblOverlap w:val="overlap"/>
      <w:tblW w:w="680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12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283"/>
      <w:gridCol w:w="397"/>
    </w:tblGrid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Взам. инв. №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984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Подп. и дата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Инв. № подл.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</w:tbl>
  <w:p>
    <w:pPr>
      <w:spacing w:before="0" w:after="0" w:line="20" w:lineRule="exact"/>
    </w:pPr>
    <w:r>
      <w:pict>
        <v:rect id="PDRD_FRAME" o:spid="_x0000_s2049" o:allowincell="f" filled="f" strokecolor="black" strokeweight="1.5pt" style="position:absolute;margin-left:56.69pt;margin-top:14.17pt;width:524.41pt;height:813.54pt;z-index:-251658240;mso-position-horizontal-relative:page;mso-position-vertical-relative:page">
          <w10:wrap anchorx="page" anchory="page"/>
        </v:rect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DRD_WATERMARK" o:spid="_x0000_s2050" type="#_x0000_t136" o:allowincell="f" fillcolor="#e3a8a8" stroked="f" style="position:absolute;margin-left:0;margin-top:0;width:453.54pt;height:56.69pt;rotation:315;z-index:-251657216;mso-position-horizontal:center;mso-position-horizontal-relative:page;mso-position-vertical:center;mso-position-vertical-relative:page">
          <v:fill opacity=".5"/>
          <v:textpath style="font-family:&quot;Arial&quot;;font-size:1pt" string="ШИФР НЕ УТВЕРЖДЁН"/>
          <w10:wrap anchorx="page" anchory="page"/>
        </v:shape>
      </w:pic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ContentsHead">
    <w:name w:val="PD Заголовок содержания"/>
    <w:basedOn w:val="Normal"/>
    <w:next w:val="Body"/>
    <w:qFormat/>
    <w:pPr>
      <w:keepNext/>
      <w:spacing w:before="120" w:after="240"/>
      <w:jc w:val="center"/>
    </w:pPr>
    <w:rPr>
      <w:b/>
      <w:sz w:val="28"/>
      <w:szCs w:val="28"/>
    </w:rPr>
  </w:style>
  <w:style w:type="paragraph" w:styleId="TOC1">
    <w:name w:val="toc 1"/>
    <w:basedOn w:val="Normal"/>
    <w:next w:val="Body"/>
    <w:qFormat/>
    <w:pPr>
      <w:tabs>
        <w:tab w:val="right" w:leader="dot" w:pos="9751"/>
      </w:tabs>
      <w:spacing w:after="40"/>
    </w:pPr>
    <w:rPr/>
  </w:style>
  <w:style w:type="paragraph" w:styleId="TOC2">
    <w:name w:val="toc 2"/>
    <w:basedOn w:val="Normal"/>
    <w:next w:val="Body"/>
    <w:qFormat/>
    <w:pPr>
      <w:tabs>
        <w:tab w:val="right" w:leader="dot" w:pos="9751"/>
      </w:tabs>
      <w:spacing w:after="40"/>
      <w:ind w:left="284"/>
    </w:pPr>
    <w:rPr/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Right">
    <w:name w:val="PD Титул утверждаю"/>
    <w:basedOn w:val="Normal"/>
    <w:qFormat/>
    <w:pPr>
      <w:spacing w:after="40"/>
      <w:ind w:left="5100"/>
      <w:jc w:val="right"/>
    </w:pPr>
    <w:rPr>
      <w:sz w:val="22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1.1.0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Линейно-кабельные сооружения. Размещение ВОЛС на опорах ВЛ. Общие данные и ведомости</dc:title>
  <dc:creator>PD_RD</dc:creator>
  <dc:description>Шаблон PD_RD 1.1.0; код тома ЛКС; раздел ПД —</dc:description>
  <dcterms:created xsi:type="dcterms:W3CDTF">2026-01-01T00:00:00Z</dcterms:created>
</cp:coreProperties>
</file>