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ПУБЛИЧНОЕ АКЦИОНЕРНОЕ ОБЩЕСТВО «РОССЕТИ ЮГ»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ФИЛИАЛ ПАО «РОССЕТИ ЮГ» — «КУБАНЬЭНЕРГО»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Армавирские электрические сети · {{ВЛАДЕЛЕЦ_АДРЕС}}</w:t>
      </w:r>
    </w:p>
    <w:p>
      <w:pPr>
        <w:pBdr>
          <w:bottom w:val="single" w:color="005B9C" w:sz="20" w:space="1"/>
        </w:pBdr>
        <w:spacing w:after="2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pBdr>
          <w:bottom w:val="single" w:color="005B9C" w:sz="6" w:space="1"/>
        </w:pBdr>
        <w:spacing w:after="26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{{УТВ_ДОЛЖ}}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_______________ {{УТВ_ФИО}}</w:t>
      </w:r>
    </w:p>
    <w:p>
      <w:pPr>
        <w:spacing w:after="7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_______________ 20___ г.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ОТЧЁТ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 результатах работ по осмотру, измерению и обследованию объекта инфраструктуры,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выполненных для предоставления информации, предусмотренной пунктом 13 Правил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недискриминационного доступа к инфраструктуре для размещения сетей электросвязи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(утв. постановлением Правительства Российской Федерации от 22.11.2022 № 2106)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5B9C"/>
          <w:sz w:val="24"/>
          <w:szCs w:val="24"/>
        </w:rPr>
        <w:t xml:space="preserve">Объект инфраструктуры: {{ОБЪЕКТ_НАИМ}}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5B9C"/>
          <w:sz w:val="24"/>
          <w:szCs w:val="24"/>
        </w:rPr>
        <w:t xml:space="preserve">{{ОБЪЕКТ_МЕСТО}}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5B9C"/>
          <w:sz w:val="24"/>
          <w:szCs w:val="24"/>
        </w:rPr>
        <w:t xml:space="preserve">Пользователь инфраструктуры: {{ПОЛЬЗОВАТЕЛЬ_НАИМ}}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5B9C"/>
          <w:sz w:val="24"/>
          <w:szCs w:val="24"/>
        </w:rPr>
        <w:t xml:space="preserve">Запрос {{ЗАПРОС_НОМЕР}} от {{ЗАПРОС_ДАТА}} ({{ЗАПРОС_ВХ_НОМЕР}} от {{ЗАПРОС_ВХ_ДАТА}})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5B9C"/>
          <w:sz w:val="24"/>
          <w:szCs w:val="24"/>
        </w:rPr>
        <w:t xml:space="preserve">Регистрационный номер {{ОТЧЁТ_НОМЕР}} от {{ОТЧЁТ_ДАТА}}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Всего листов ____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5B9C"/>
          <w:sz w:val="24"/>
          <w:szCs w:val="24"/>
        </w:rPr>
        <w:t xml:space="preserve">{{ГОД}}</w:t>
      </w:r>
    </w:p>
    <w:p>
      <w:r>
        <w:br w:type="page"/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Служебные отметки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7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Основание выполнения работ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Запрос пользователя инфраструктуры {{ЗАПРОС_НОМЕР}} от {{ЗАПРОС_ДАТА}}; пункт 13 Правил; договор (счёт) {{ДОГОВОР_НОМЕР}} от {{ДОГОВОР_ДАТА}} — работы по осмотру, измерению, обследованию объекта инфраструктуры (абзац второй пункта 16 Правил)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Срок предоставления информации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Не более 30 рабочих дней со дня получения запроса (пункт 16 Правил). Расчётная дата: {{СРОК_ПРЕДЕЛ}}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Режим информации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Конфиденциально. Передаётся при наличии письменного обязательства пользователя инфраструктуры о сохранении конфиденциальности и неиспользовании в противоправных целях (пункты 15 Правил). Реквизиты обязательства: {{КОНФИД_ОБЯЗАТ}}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Ответственность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Владелец инфраструктуры несёт ответственность за своевременность, полноту и достоверность предоставляемой информации (пункт 17 Правил)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Срок актуальности сведений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{{СРОК_МЕСЯЦЕВ}} мес. с даты отчёта. По истечении срока сведения подлежат подтверждению повторным осмотром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Организация-исполнитель работ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{{ИСПОЛНИТЕЛЬ_ОРГ}}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Руководитель работ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{{ИСПОЛНИТЕЛЬ_РУК}}</w:t>
            </w:r>
          </w:p>
        </w:tc>
      </w:tr>
    </w:tbl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Состав отчёта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 Основание, предмет и объём работ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 Сведения о владельце и пользователе инфраструктуры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 Объект инфраструктуры и схемы его размещения (пункт 13 «а» Правил)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 Работы по осмотру, измерению и обследованию объекта инфраструктуры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 Наличие (отсутствие) технологической возможности предоставления доступа (пункт 13 «б» Правил)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 Порядок выполнения технологических, технических и иных мероприятий (пункт 13 «в» Правил)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 Порядок формирования цены (тарифа) на предоставление доступа (пункт 13 «г» Правил)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 Условия доступа сотрудников пользователя инфраструктуры (пункт 13 «д» Правил)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 Заключение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 Перечень применённых нормативных документов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А — Схема размещения объекта инфраструктуры (ситуационный план)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Б — Перечень задействованных опор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В — Ведомость дефектов и фотоматериалы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Г.1 — Протоколы измерений фактического состояния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Г.2 — Оценка достаточности свободных интервалов под размещение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Д — Сведения о применённых средствах измерений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Е.1 — Мероприятия, обусловленные размещением сети электросвязи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Е.2 — Устранение дефектов эксплуатации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Ж — Оценка несущей способности опор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Лист внутреннего контроля качества отчёта</w:t>
      </w:r>
    </w:p>
    <w:p>
      <w:r>
        <w:br w:type="page"/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1 Основание, предмет и объём работ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 Настоящий отчёт подготовлен во исполнение запроса пользователя инфраструктуры {{ЗАПРОС_НОМЕР}} от {{ЗАПРОС_ДАТА}} (зарегистрирован {{ЗАПРОС_ВХ_НОМЕР}} от {{ЗАПРОС_ВХ_ДАТА}}), направленного в соответствии с пунктом 13 Правил недискриминационного доступа к инфраструктуре для размещения сетей электросвязи, утверждённых постановлением Правительства Российской Федерации от 22.11.2022 № 2106 (далее — Правила).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 Предмет отчёта — предоставление пользователю инфраструктуры информации, предусмотренной подпунктами «а»–«д» пункта 13 Правил, в отношении объекта инфраструктуры {{ОБЪЕКТ_НАИМ}}.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 Для подготовки информации владельцем инфраструктуры выполнены работы по осмотру, измерению и обследованию объекта инфраструктуры. Основание взимания платы за предоставление информации — абзац второй пункта 16 Правил.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1.4 Отчёт не является проектной документацией и не заменяет проект размещения сети электросвязи. Приведённые в отчёте сведения о состоянии объекта инфраструктуры подлежат использованию при разработке проектной документации пользователем инфраструктуры.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1.6 Объём выполненных работ: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осмотр объекта инфраструктуры в границах, указанных в запросе;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инструментальные измерения геометрических и прочностных параметров;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соответствия объекта инфраструктуры дополнительным нагрузкам, возникающим вследствие размещения сети электросвязи;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перечня мероприятий, необходимых для размещения сети электросвязи.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2 Сведения о владельце и пользователе инфраструктуры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Сведения</w:t>
            </w:r>
          </w:p>
        </w:tc>
        <w:tc>
          <w:tcPr>
            <w:tcW w:type="dxa" w:w="67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Владелец инфраструктуры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{{ВЛАДЕЛЕЦ_НАИМ}}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Филиал / производственное отделение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{{ВЛАДЕЛЕЦ_ФИЛИАЛ}}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{{ВЛАДЕЛЕЦ_АДРЕС}}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Основание владения объектом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{{ОБЪЕКТ_ВЛАДЕНИЕ}}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Пользователь инфраструктуры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{{ПОЛЬЗОВАТЕЛЬ_НАИМ}}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{{ПОЛЬЗОВАТЕЛЬ_АДРЕС}}</w:t>
            </w:r>
          </w:p>
        </w:tc>
      </w:tr>
    </w:tbl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3 Объект инфраструктуры и схемы его размещения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Раздел содержит информацию, предусмотренную подпунктом «а» пункта 13 Правил.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3.1 Общая характеристика объекта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tblHeader/>
        </w:trPr>
        <w:tc>
          <w:tcPr>
            <w:tcW w:type="dxa" w:w="32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61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Вид объекта инфраструктуры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{{ОБЪЕКТ_ВИД}}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Наименование объекта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{{ОБЪЕКТ_НАИМ}}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Класс напряжения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{{ОБЪЕКТ_КЛАСС}} кВ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Место расположения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{{ОБЪЕКТ_МЕСТО}}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Протяжённость участка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{{ОБЪЕКТ_ДЛИНА}} км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Количество опор в границах запроса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{{ОПОР_ВСЕГО}} шт.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Типы применённых опор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{{ТИПЫ_ОПОР}}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Охранная зона (ПП РФ № 160 от 24.02.2009)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{{ОХРАННАЯ_ЗОНА}}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Сведения в информационной системе владельца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{{ИНФОСИСТЕМА}}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3.2 Расчётные климатические условия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tblHeader/>
        </w:trPr>
        <w:tc>
          <w:tcPr>
            <w:tcW w:type="dxa" w:w="32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Район по ветровому давлению (ПУЭ-7, табл. 2.5.1)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{{ВЕТЕР_РАЙОН}}, W₀ = {{ВЕТЕР_ДАВЛЕНИЕ}} Па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Район по гололёду (ПУЭ-7, табл. 2.5.3)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{{ГОЛОЛЁД_РАЙОН}}, bэ = {{ГОЛОЛЁД_СТЕНКА}} мм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Тип местности по условиям воздействия ветра (ПУЭ-7, п. 2.5.6)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{{МЕСТНОСТЬ_ТИП}}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Сейсмичность площадки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{{СЕЙСМИКА}}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3.3 Перечень задействованных опор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Перечень опор, входящих в границы запроса, с указанием марки, типа, длины пролёта, выявленных дефектов и категории технического состояния приведён в приложении Б.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3.4 Схема размещения объекта инфраструктуры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Ситуационный план прохождения трассы с нанесением номеров опор и границ запрашиваемого участка приведён в приложении 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3.5 Сведения о размещаемой сети электросвязи (по данным пользователя инфраструктуры)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{{ТАБЛИЦА:КАБЕЛИ}}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Формируется из листа «Кабели». По каждому типу размещаемого элемента: марка (выбор из справочника «Спр_Кабели»), тип, диаметр, масса, допустимое тяжение — подставляются автоматически; высота подвеса и арматура — вручную. При нескольких типах оценка раздела 5 и приложения Ж выполняется применительно к их одновременному размещению.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4 Работы по осмотру, измерению и обследованию объекта инфраструктуры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4.1 Сроки и методы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tblHeader/>
        </w:trPr>
        <w:tc>
          <w:tcPr>
            <w:tcW w:type="dxa" w:w="32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Техническое задание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{{ТЗ_НОМЕР}} от {{ТЗ_ДАТА}}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Программа работ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{{ПРОГРАММА_НОМЕР}} от {{ПРОГРАММА_ДАТА}}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Период выполнения работ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 {{РАБОТЫ_НАЧАЛО}} по {{РАБОТЫ_ОКОНЧАНИЕ}}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Применённые методы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{{РАБОТЫ_МЕТОДЫ}}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Состав исполнителей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{{ИСПОЛНИТЕЛЬ_СОСТАВ}}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4.2 Применённые средства измерений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Перечень средств измерений с указанием заводских номеров и сведений о поверке, включая номера записей о поверке во ФГИС «Аршин», приведён в приложении Д. Все применённые средства измерений на дату выполнения работ имели действующую поверку.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4.3 Результаты осмотра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Ведомость выявленных дефектов с указанием категории дефекта и категории технического состояния конструкций по ГОСТ 31937-2024, а также фотоматериалы приведены в приложении В.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Сводные результаты осмотра: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3355"/>
      </w:tblGrid>
      <w:tr>
        <w:trPr>
          <w:tblHeader/>
        </w:trPr>
        <w:tc>
          <w:tcPr>
            <w:tcW w:type="dxa" w:w="44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Категория технического состояния (ГОСТ 31937-2024)</w:t>
            </w:r>
          </w:p>
        </w:tc>
        <w:tc>
          <w:tcPr>
            <w:tcW w:type="dxa" w:w="1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Опор, шт.</w:t>
            </w:r>
          </w:p>
        </w:tc>
        <w:tc>
          <w:tcPr>
            <w:tcW w:type="dxa" w:w="33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Влияние на возможность размещения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Нормативное / работоспособное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{{ОПОР_РАБОТОСП}}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Размещение возможно без дополнительных условий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Ограниченно работоспособное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{{ОПОР_ОГРАНИЧ}}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Размещение возможно после выполнения мероприятий раздела 6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Аварийное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{{ОПОР_АВАРИЙН}}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Размещение не допускается до восстановления несущей способности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{{ОПОР_ВСЕГО}}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4.4 Результаты измерений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инструментальных измерений с сопоставлением с нормативными требованиями приведены в приложении Г.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5 Наличие (отсутствие) технологической возможности предоставления доступа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Раздел содержит информацию, предусмотренную подпунктом «б» пункта 13 Правил.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5.1 Критерии оценки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Технологическая возможность доступа к объекту инфраструктуры оценивалась исходя из определения, приведённого в пункте 2 Правил, и условия, установленного абзацем вторым пункта 18 Правил: размещение сети электросвязи не должно препятствовать использованию объекта инфраструктуры по прямому назначению и должно обеспечивать безопасность его функционирования. Применены следующие критерии: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опор дополнительным нагрузкам, возникающим вследствие размещения сети электросвязи (собственный вес кабеля, гололёдная и ветровая нагрузки на кабель, тяжение);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сохранение нормируемых габаритов до земли, пересекаемых объектов и насаждений (ПУЭ-7, глава 2.5);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сохранение нормируемых изоляционных расстояний до токоведущих частей;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фактическое техническое состояние несущих конструкций по результатам осмотра и измерений;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наличие свободного места для размещения с учётом ранее размещённых элементов сетей электросвязи.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5.2 Оценка соответствия дополнительным нагрузкам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{{ОЦЕНКА_НАГРУЗОК}}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Количественная сопоставительная оценка несущей способности опор по методике главы 2.5 ПУЭ-7 приведена в приложении Ж. Минимальный запас по изгибающему моменту — {{ЗАПАС_МИН}} %.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Примечание. Оценка приложения Ж не заменяет поверочный расчёт по расчётной схеме опоры. Для опор с запасом менее 10 %, а также при недостаточности исходных данных поверочный расчёт включается в перечень мероприятий приложения Е и выполняется до начала размещения.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5.3 Оценка соблюдения габаритов и изоляционных расстояний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{{ОЦЕНКА_ГАБАРИТОВ}}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5.4 Сводный результат по опорам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3355"/>
      </w:tblGrid>
      <w:tr>
        <w:trPr>
          <w:tblHeader/>
        </w:trPr>
        <w:tc>
          <w:tcPr>
            <w:tcW w:type="dxa" w:w="44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Технологическая возможность</w:t>
            </w:r>
          </w:p>
        </w:tc>
        <w:tc>
          <w:tcPr>
            <w:tcW w:type="dxa" w:w="1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Опор, шт.</w:t>
            </w:r>
          </w:p>
        </w:tc>
        <w:tc>
          <w:tcPr>
            <w:tcW w:type="dxa" w:w="33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Доля, %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Имеется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{{ВОЗМ_ЕСТЬ}}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{{ВОЗМ_ЕСТЬ_ПРОЦ}}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Имеется при условии выполнения мероприятий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{{ВОЗМ_УСЛОВНО}}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{{ВОЗМ_УСЛОВНО_ПРОЦ}}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Отсутствует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{{ВОЗМ_НЕТ}}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{{ВОЗМ_НЕТ_ПРОЦ}}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{{ОПОР_ВСЕГО}}</w:t>
            </w:r>
          </w:p>
        </w:tc>
        <w:tc>
          <w:tcPr>
            <w:tcW w:type="dxa" w:w="3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Пообъектная разбивка по каждой опоре приведена в приложении Б (графа «Технологическая возможность»).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5.5 Вывод о технологической возможности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{{ВЫВОД_ВОЗМОЖНОСТЬ}}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6 Порядок выполнения технологических, технических и иных мероприятий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Раздел содержит информацию, предусмотренную подпунктом «в» пункта 13 Правил.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Мероприятия настоящего раздела носят рекомендательный характер. Их состав, объём, технические решения и стоимость определяются проектной документацией пользователя инфраструктуры и согласуются с владельцем инфраструктуры (пункты 5.1, 6 ТТ № 282р). Отчёт фиксирует лишь факт необходимости мероприятия по результатам осмотра и измерений.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6.1 Перечень мероприятий (рекомендательный)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Перечень мероприятий, необходимость которых выявлена по результатам осмотра и измерений, приведён в приложении 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Распределение обязанностей по выполнению мероприятий определяется договором о предоставлении доступа к инфраструктуре (пункт 26 Правил). Расходы владельца инфраструктуры на устранение дефектов и повреждений, когда такое устранение является необходимым условием размещения сети электросвязи, учитываются в цене (тарифе) в соответствии с абзацами пятым — шестым пункта 39 Правил.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6.2 Последовательность выполнения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Заключение договора о предоставлении доступа к инфраструктуре (пункты 19, 23, 26 Правил).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Выполнение мероприятий, отнесённых приложением Е к владельцу инфраструктуры, — до начала работ по размещению.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Разработка пользователем инфраструктуры проектной документации на размещение сети электросвязи и её согласование с владельцем инфраструктуры.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Согласование графика производства работ и режимов работы объекта инфраструктуры (необходимость и продолжительность технологических отключений).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5) Производство работ по размещению сети электросвязи.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6) Приёмка размещённых элементов сети электросвязи с оформлением акта.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6.3 Условия производства работ на объекте инфраструктуры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 охранной зоне и на конструкциях объекта инфраструктуры производятся по наряду-допуску;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работы, требующие снятия напряжения, выполняются по согласованному графику технологических отключений;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конструкции опор, установка дополнительных элементов и сверление несущих конструкций без письменного согласования с владельцем инфраструктуры не допускаются;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точки крепления, тип узлов подвеса и линейной арматуры подлежат согласованию с владельцем инфраструктуры на стадии проектной документации;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завершения работ пользователь инфраструктуры обеспечивает восстановление нарушенного благоустройства и вывоз отходов.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7 Порядок формирования цены (тарифа) на предоставление доступа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Раздел содержит информацию, предусмотренную подпунктом «г» пункта 13 Правил.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7.1 Цена (тариф) на предоставление доступа к инфраструктуре устанавливается владельцем инфраструктуры в соответствии с пунктами 38–41 Правил и с учётом методических рекомендаций Федеральной антимонопольной службы. Порядок формирования цены (тарифа) опубликован в порядке, предусмотренном разделом III Правил.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tblHeader/>
        </w:trPr>
        <w:tc>
          <w:tcPr>
            <w:tcW w:type="dxa" w:w="32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Сведение</w:t>
            </w:r>
          </w:p>
        </w:tc>
        <w:tc>
          <w:tcPr>
            <w:tcW w:type="dxa" w:w="61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Адрес публикации порядка формирования цены (тарифа)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{{ЦЕНА_ПУБЛИКАЦИЯ}}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Стоимость работ по осмотру, измерению, обследованию (пункт 16 Правил)</w:t>
            </w:r>
          </w:p>
        </w:tc>
        <w:tc>
          <w:tcPr>
            <w:tcW w:type="dxa" w:w="61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{{ЦЕНА_РАБОТЫ}}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7.2 В цену (тариф) на предоставление доступа включаются экономически обоснованные расходы владельца инфраструктуры, предусмотренные пунктом 39 Правил.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7.3 Цены (тарифы) в сопоставимых условиях устанавливаются равными для всех пользователей инфраструктуры (пункт 38 Правил). Включение в цену расходов, учтённых в составе цен на иные услуги с использованием тех же объектов, не допускается.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8 Условия доступа сотрудников пользователя инфраструктуры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Раздел содержит информацию, предусмотренную подпунктом «д» пункта 13 Правил.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8.1 Владелец инфраструктуры обеспечивает на безвозмездной основе беспрепятственный доступ уполномоченного персонала пользователя инфраструктуры к размещённой сети электросвязи и её отдельным элементам (подпункт «в» пункта 30 Правил).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8.2 Условия доступа: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{{ДОСТУП_УСЛОВИЯ}}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8.3 При возникновении аварийной ситуации на сети электросвязи доступ обеспечивается в круглосуточном режиме по заявке, направленной в диспетчерскую службу владельца инфраструктуры, с последующим оформлением документов в рабочем порядке.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9 Заключение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9.1 Работы по осмотру, измерению и обследованию объекта инфраструктуры {{ОБЪЕКТ_НАИМ}} выполнены в объёме, необходимом и достаточном для предоставления информации, предусмотренной подпунктами «а»–«д» пункта 13 Правил.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9.2 Обследовано опор — {{ОПОР_ВСЕГО}} шт., в том числе в работоспособном состоянии — {{ОПОР_РАБОТОСП}} шт., в ограниченно работоспособном — {{ОПОР_ОГРАНИЧ}} шт., в аварийном — {{ОПОР_АВАРИЙН}} шт.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9.3 Итоговый вывод о наличии (отсутствии) технологической возможности предоставления доступа: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{{ВЫВОД_ВОЗМОЖНОСТЬ}}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9.4 Перечень мероприятий, необходимых для предоставления доступа, приведён в приложении Е; количество мероприятий — {{МЕРОПРИЯТИЙ_ВСЕГО}}.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9.5 Настоящий отчёт является ответом владельца инфраструктуры на запрос пользователя инфраструктуры и не является офертой на заключение договора о предоставлении доступа к инфраструктуре. Оферта либо мотивированный отказ направляются в порядке, установленном пунктом 23 Правил, по результатам рассмотрения заявления, предусмотренного пунктом 20 Правил.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10 Перечень применённых нормативных документов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Федеральный закон от 26.07.2006 № 135-ФЗ «О защите конкуренции», часть 3 статьи 10.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Федеральный закон от 07.07.2003 № 126-ФЗ «О связи».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Федеральный закон от 30.12.2009 № 384-ФЗ «Технический регламент о безопасности зданий и сооружений».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Правила недискриминационного доступа к инфраструктуре для размещения сетей электросвязи, утв. постановлением Правительства Российской Федерации от 22.11.2022 № 2106 (в ред. постановления от 12.06.2024 № 792).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Правила установления охранных зон объектов электросетевого хозяйства, утв. постановлением Правительства Российской Федерации от 24.02.2009 № 160.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Правила технической эксплуатации электрических станций и сетей Российской Федерации, утв. приказом Минэнерго России от 04.10.2022 № 1070 (в действующей редакции).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Технические требования к размещению сетей электросвязи (их отдельных элементов) сторонних лиц на ВЛ, утв. распоряжением ПАО «Россети» от 18.05.2026 № 282р.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Правила по охране труда при эксплуатации электроустановок, утв. приказом Минтруда России от 15.12.2020 № 903н.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 Правила устройства электроустановок, седьмое издание, глава 2.5 «Воздушные линии электропередачи напряжением выше 1 кВ».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 ГОСТ 31937-2024 «Здания и сооружения. Правила обследования и мониторинга технического состояния».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 ГОСТ 27751-2014 «Надёжность строительных конструкций и оснований. Основные положения».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12. ГОСТ 22690-2015 «Бетоны. Определение прочности механическими методами неразрушающего контроля».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 СП 20.13330.2016 «Нагрузки и воздействия» (актуализированная редакция СНиП 2.01.07-85*).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14. СП 14.13330.2018 «Строительство в сейсмических районах» (актуализированная редакция СНиП II-7-81*).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15. СП 131.13330.2020 «Строительная климатология» (актуализированная редакция СНиП 23-01-99*).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16. Порядок проведения поверки средств измерений, утв. приказом Минпромторга России от 31.07.2020 № 2510.</w:t>
      </w:r>
    </w:p>
    <w:p>
      <w:pPr>
        <w:spacing w:after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17. Правила проектирования, строительства и эксплуатации волоконно-оптических линий связи на воздушных линиях электропередачи напряжением 0,4–35 кВ (утв. Минэнерго России и Минсвязи России, 2002).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Перечень актуализируется при изменении нормативной базы. Проверка действия ссылочных документов выполняется на дату выпуска отчёта.</w:t>
      </w:r>
    </w:p>
    <w:p>
      <w:r>
        <w:br w:type="page"/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А — Схема размещения объекта инфраструктуры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{{СХЕМА_РАЗМЕЩЕНИЯ}}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А.1 — Ситуационный план прохождения {{ОБЪЕКТ_НАИМ}} с нанесением номеров опор и границ запрашиваемого участка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Б — Перечень задействованных опор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Приложение размещается на листах альбомной ориентации.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{{ТАБЛИЦА:ОПОРЫ}}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Формируется из листа «Опоры» файла исходных данных. Графы: № п/п, линия (фидер), № опоры, марка, материал, тип по назначению, пролёт, нормируемый габарит проводов до земли (проставляется автоматически по таблице 2.5.20 ПУЭ-7 в зависимости от характера местности), дефект, категория дефекта, состояние конструкции по ГОСТ 31937-2024, технологическая возможность, мероприятие. Фактические габариты — по результатам измерений (приложение Г).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В — Ведомость дефектов и фотоматериалы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{{ТАБЛИЦА:ДЕФЕКТЫ}}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Формируется автоматически как выборка строк листа «Опоры», у которых заполнена графа «Дефект». Фотоматериалы загружаются отдельно и размещаются после ведомости с подписями «Рисунок В.N — опора № ___, ___».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Г.1 — Протоколы измерений фактического состояния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Приложение размещается на листах альбомной ориентации.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{{ТАБЛИЦА:ИЗМЕРЕНИЯ_Г1}}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Формируется из листа «Измерения» — строки с разделом протокола «Г.1». Графы: № опоры, линия, вид измерения, место (отметка), значение, единица измерения, нормативное требование, вывод, средство измерения. Каждая строка относится к одной конкретной опоре; значения, полученные на одной опоре, на другие не распространяются.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Г.2 — Оценка достаточности свободных интервалов под размещение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Размещаемый оптический кабель на дату обследования не смонтирован. В приложении приводятся фактически свободные интервалы, установленные на опорах, и их сопоставление с нормируемыми значениями. Вывод даётся в форме «достаточно / недостаточно» и не является измерением параметров кабеля.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{{ТАБЛИЦА:ИЗМЕРЕНИЯ_Г2}}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Окончательное подтверждение габаритов и расстояний с учётом стрел провеса, высот и точек подвеса выполняется в проектной документации — раздел 3 ТТ № 282р, глава 2.5 ПУЭ-7.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Д — Сведения о применённых средствах измерений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{{ТАБЛИЦА:СИ}}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Формируется из листа «СИ». Обязательно указание номера записи о поверке во ФГИС «Аршин» — в соответствии с порядком, утверждённым приказом Минпромторга России от 31.07.2020 № 2510, сведения ФГИС являются подтверждением результатов поверки.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Е.1 — Мероприятия, обусловленные размещением сети электросвязи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Исполнитель — пользователь инфраструктуры. В группу включены проектные решения по обеспечению нормируемых расстояний и поверочные расчёты, необходимость которых вызвана намерением разместить сеть электросвязи на объекте.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{{ТАБЛИЦА:МЕРОПРИЯТИЯ_Е1}}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Е.2 — Устранение дефектов эксплуатации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Исполнитель — владелец инфраструктуры. В группу включены дефекты несущих конструкций и несоответствия фактического состояния, возникшие до подачи заявления о предоставлении доступа и размещением сети электросвязи не вызванные. Содержание объекта относится к обязанностям владельца (статья 210 Гражданского кодекса Российской Федерации, Правила технической эксплуатации); отнесение этих мероприятий на пользователя инфраструктуры в качестве условия доступа образует признаки навязывания невыгодных условий договора (часть 1 статьи 10 Федерального закона от 26.07.2006 № 135-ФЗ).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{{ТАБЛИЦА:МЕРОПРИЯТИЯ_Е2}}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Приложение Ж — Оценка несущей способности опор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Ж.1 Методика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Сопоставительная оценка по методу предельных состояний (первая группа) применительно к изгибающему моменту в заделке стойки. Погонные нагрузки определены по пунктам 2.5.52 и 2.5.53 главы 2.5 ПУЭ-7, расчётные значения — с коэффициентами надёжности по пунктам 2.5.55, 2.5.62, 2.5.69.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Допустимый момент принят ПО СТОЙКЕ опоры, а не по её назначению: одна и та же стойка не может иметь разные допустимые моменты. Подкосы, вторая стойка и оттяжки анкерных опор в запас несущей способности не учитываются.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Расчётным принят НАИБОЛЬШИЙ пролёт в пределах марки опоры, а не средний: усреднение скрывает именно те опоры, которые определяют результат. Для опор в ограниченно работоспособном состоянии дополнительно выполняется вариант расчёта с понижающим коэффициентом 0,8 к допустимому моменту.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Количественный запас выдаётся ТОЛЬКО для промежуточных опор. Анкерные, угловые, концевые и ответвительные опоры воспринимают неуравновешенное тяжение и работают совместно с подкосами, оттяжками и второй стойкой, которые упрощённая расчётная схема не описывает; по ним запас не приводится, а поверочный расчёт по расчётной схеме относится к проектной документации (пункт 6 ТТ № 282р). Справочно приводится момент от тяжения: доля тяжения принята 1,0 для концевых и ответвительных, 2·sin(α/2) для угловых по фактическому углу поворота, 0,3 для анкерных промежуточных.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Нагрузки учитываются раздельно по классам напряжения: на опору каждого класса относятся только те провода, тросы и кабели, которые к этому классу относятся.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Принятые упрощения (в запас несущей способности): коэффициенты условий работы приняты равными единице; коэффициент, учитывающий тип местности, принят для высоты до 15 м; ветер под углом 90° к оси ВЛ; момент — произведение горизонтальной нагрузки на высоту подвеса.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Ж.2 Расчётные климатические параметры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{{ТАБЛИЦА:КЛИМАТ_РАСЧЁТ}}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Ж.3 Учтённая существующая подвеска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{{ТАБЛИЦА:ПОДВЕСКА}}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Ж.4 Результаты оценки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{{ТАБЛИЦА:НЕСУЩАЯ_СПОСОБНОСТЬ}}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Формируется автоматически из листа «Нагрузки»: марка опоры, типовой проект, Mдоп, момент от существующей подвески, момент от размещаемого кабеля, суммарный момент, запас в процентах.</w:t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Лист внутреннего контроля качества отчёта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Контроль выполняется автоматизированно при формировании отчёта и подтверждается нормоконтролёром. Группы проверок: I — комплектность (реквизиты, перечень опор, схема, ТЗ и программа, охранная зона); II — непротиворечивость (состояние опор ↔ вывод о технологической возможности ↔ мероприятия); III — метрология (полнота приложения Д, записи во ФГИС «Аршин», действительность поверок на период работ); IV — сроки (30 рабочих дней по пункту 16 Правил); V — несущая способность (неотрицательный запас, запас не менее 10 %, полнота исходных данных).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5B9C"/>
          <w:sz w:val="24"/>
          <w:szCs w:val="24"/>
        </w:rPr>
        <w:t xml:space="preserve">{{ТАБЛИЦА:АУДИТ}}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 контроля: несоответствий — {{АУДИТ_НЕСООТВЕТСТВИЙ}}, замечаний — {{АУДИТ_ЗАМЕЧАНИЙ}}. При наличии несоответствий выпуск отчёта не допускается.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5"/>
      </w:tblGrid>
      <w:tr>
        <w:trPr>
          <w:tblHeader/>
        </w:trPr>
        <w:tc>
          <w:tcPr>
            <w:tcW w:type="dxa" w:w="4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Нормоконтроль / внутренний аудит</w:t>
            </w:r>
          </w:p>
        </w:tc>
        <w:tc>
          <w:tcPr>
            <w:tcW w:type="dxa" w:w="47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Подпись, дата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{{АУДИТОР_ДОЛЖ}}, {{АУДИТОР_ФИО}}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_______________ «____» ____________ 20___ г.</w:t>
            </w:r>
          </w:p>
        </w:tc>
      </w:tr>
    </w:tbl>
    <w:p>
      <w:pPr>
        <w:spacing w:before="50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5"/>
      </w:tblGrid>
      <w:tr>
        <w:trPr>
          <w:tblHeader/>
        </w:trPr>
        <w:tc>
          <w:tcPr>
            <w:tcW w:type="dxa" w:w="4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47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Подпись, Ф.И.О.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{{ПОДПИСАНТ_ДОЛЖ}}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_______________ {{ПОДПИСАНТ_ФИО}}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{{ИСПОЛНИТЕЛЬ_РУК}}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5B9C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М.П.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Отчёт направлен пользователю инфраструктуры «____» _______________ 20___ г. посредством ____________________ связи.</w:t>
      </w:r>
    </w:p>
    <w:p>
      <w:r>
        <w:br w:type="page"/>
      </w:r>
    </w:p>
    <w:p>
      <w:pPr>
        <w:pStyle w:val="Heading1"/>
        <w:pBdr>
          <w:bottom w:val="single" w:color="005B9C" w:sz="18" w:space="2"/>
        </w:pBd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Легенда шаблона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Текст, выделенный синим, — подстановочные поля. Они заполняются автоматически генератором отчёта из файла исходных данных.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поля</w:t>
            </w:r>
          </w:p>
        </w:tc>
        <w:tc>
          <w:tcPr>
            <w:tcW w:type="dxa" w:w="6755"/>
            <w:shd w:fill="005B9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Что подставляется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{{КОД}}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Значение из листа «Паспорт» файла исходных данных по совпадающему коду поля (столбец «Код»). Климатические поля при отсутствии значений определяются генератором автоматически по месту расположения объекта (укрупнённое зонирование, подлежит подтверждению).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{{ТАБЛИЦА:КАБЕЛИ}}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Таблица размещаемых элементов сети электросвязи из листа «Кабели» (все типы).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{{ТАБЛИЦА:ИМЯ}}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Таблица, собираемая из соответствующего листа файла исходных данных.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{{СХЕМА_РАЗМЕЩЕНИЯ}}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Изображение ситуационного плана, загружаемое в генераторе отдельно.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{{ОПОР_ВСЕГО}}, {{ОПОР_РАБОТОСП}}, {{ОПОР_ОГРАНИЧ}}, {{ОПОР_АВАРИЙН}}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Считаются автоматически по листу «Опоры».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{{ВОЗМ_ЕСТЬ}}, {{ВОЗМ_УСЛОВНО}}, {{ВОЗМ_НЕТ}} и доли в %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Считаются автоматически по графе «Технологическая возможность».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{{СРОК_ПРЕДЕЛ}}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Дата запроса + 30 рабочих дней (пункт 16 Правил).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{{ВЫВОД_ВОЗМОЖНОСТЬ}}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Формулируется автоматически; переопределяется полем ручного вывода в листе «Паспорт».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{{ОЦЕНКА_НАГРУЗОК}}, {{ОЦЕНКА_ГАБАРИТОВ}}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Формулируются автоматически по результатам листов «Опоры» и «Измерения»; редактируются вручную в генераторе.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{{ТИПЫ_ОПОР}}, {{МЕРОПРИЯТИЙ_ВСЕГО}}, {{ГОД}}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Считаются автоматически.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{{ЗАПАС_МИН}}, {{ТАБЛИЦА:НЕСУЩАЯ_СПОСОБНОСТЬ}}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Расчёт нагрузок по ПУЭ-7 из листа «Нагрузки»: гололёд (п. 2.5.53), ветер (п. 2.5.52), коэффициенты надёжности первой группы.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{{ТАБЛИЦА:АУДИТ}}, {{АУДИТ_НЕСООТВЕТСТВИЙ}}, {{АУДИТ_ЗАМЕЧАНИЙ}}</w:t>
            </w:r>
          </w:p>
        </w:tc>
        <w:tc>
          <w:tcPr>
            <w:tcW w:type="dxa" w:w="6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Автоматический внутренний контроль: комплектность, непротиворечивость, метрология, сроки, несущая способность.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Выгрузка отчёта выполняется генератором в форматах Ворд (.docx) и ПДФ. Оформление: бланковая шапка филиала на титульном листе, колонтитулы с реквизитами отчёта и нумерацией «Лист … из …» (титульный лист без колонтитула), шапки таблиц в фирменном синем цвете, широкие реестры (приложения Б и Г) — на листах альбомной ориентации.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60" w:right="850" w:bottom="1250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B9C" w:sz="6" w:space="1"/>
      </w:pBdr>
      <w:jc w:val="center"/>
    </w:pPr>
    <w:r>
      <w:rPr>
        <w:rFonts w:ascii="Times New Roman" w:cs="Times New Roman" w:eastAsia="Times New Roman" w:hAnsi="Times New Roman"/>
        <w:color w:val="33404D"/>
        <w:sz w:val="17"/>
        <w:szCs w:val="17"/>
      </w:rPr>
      <w:t xml:space="preserve">Отчёт по пункту 13 Правил недискриминационного доступа (ПП РФ № 2106) · Лист </w:t>
    </w:r>
    <w:r>
      <w:rPr>
        <w:rFonts w:ascii="Times New Roman" w:cs="Times New Roman" w:eastAsia="Times New Roman" w:hAnsi="Times New Roman"/>
        <w:color w:val="33404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33404D"/>
        <w:sz w:val="17"/>
        <w:szCs w:val="17"/>
      </w:rPr>
      <w:t xml:space="preserve"> из </w:t>
    </w:r>
    <w:r>
      <w:rPr>
        <w:rFonts w:ascii="Times New Roman" w:cs="Times New Roman" w:eastAsia="Times New Roman" w:hAnsi="Times New Roman"/>
        <w:color w:val="33404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B9C" w:sz="6" w:space="1"/>
      </w:pBdr>
      <w:tabs>
        <w:tab w:val="right" w:pos="9355"/>
      </w:tabs>
    </w:pPr>
    <w:r>
      <w:rPr>
        <w:rFonts w:ascii="Times New Roman" w:cs="Times New Roman" w:eastAsia="Times New Roman" w:hAnsi="Times New Roman"/>
        <w:color w:val="33404D"/>
        <w:sz w:val="17"/>
        <w:szCs w:val="17"/>
      </w:rPr>
      <w:t xml:space="preserve">Филиал ПАО «Россети Юг» — «Кубаньэнерго»</w:t>
    </w:r>
    <w:r>
      <w:rPr>
        <w:rFonts w:ascii="Times New Roman" w:cs="Times New Roman" w:eastAsia="Times New Roman" w:hAnsi="Times New Roman"/>
        <w:color w:val="33404D"/>
        <w:sz w:val="17"/>
        <w:szCs w:val="17"/>
      </w:rPr>
      <w:t xml:space="preserve">	Отчёт {{ОТЧЁТ_НОМЕР}} от {{ОТЧЁТ_ДАТА}}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2026-08-13T09:50:09.071Z</dcterms:created>
  <dcterms:modified xsi:type="dcterms:W3CDTF">2026-08-13T09:50:09.071Z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