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30" w:line="276" w:lineRule="auto"/>
        <w:jc w:val="center"/>
      </w:pPr>
      <w:r>
        <w:rPr>
          <w:sz w:val="22"/>
          <w:szCs w:val="22"/>
        </w:rPr>
        <w:t xml:space="preserve">ПУБЛИЧНОЕ АКЦИОНЕРНОЕ ОБЩЕСТВО «РОССЕТИ ЮГ»</w:t>
      </w:r>
    </w:p>
    <w:p>
      <w:pPr>
        <w:spacing w:before="0" w:after="30" w:line="276" w:lineRule="auto"/>
        <w:jc w:val="center"/>
      </w:pPr>
      <w:r>
        <w:rPr>
          <w:b/>
          <w:bCs/>
          <w:sz w:val="25"/>
          <w:szCs w:val="25"/>
        </w:rPr>
        <w:t xml:space="preserve">ФИЛИАЛ ПАО «РОССЕТИ ЮГ» — «КУБАНЬЭНЕРГО»</w:t>
      </w:r>
    </w:p>
    <w:p>
      <w:pPr>
        <w:spacing w:before="0" w:after="20" w:line="276" w:lineRule="auto"/>
        <w:jc w:val="center"/>
      </w:pPr>
      <w:r>
        <w:rPr>
          <w:color w:val="333333"/>
          <w:sz w:val="19"/>
          <w:szCs w:val="19"/>
        </w:rPr>
        <w:t xml:space="preserve">Ленинградские электрические сети · 353740, Краснодарский край, ст. Ленинградская, ул. им. 302 Дивизии, 6</w:t>
      </w:r>
    </w:p>
    <w:p>
      <w:pPr>
        <w:pBdr>
          <w:bottom w:val="single" w:sz="20" w:space="1" w:color="005B9C"/>
        </w:pBdr>
        <w:spacing w:before="0" w:after="20" w:line="276" w:lineRule="auto"/>
        <w:jc w:val="both"/>
      </w:pPr>
    </w:p>
    <w:p>
      <w:pPr>
        <w:pBdr>
          <w:bottom w:val="single" w:sz="6" w:space="1" w:color="005B9C"/>
        </w:pBdr>
        <w:spacing w:before="0" w:after="260" w:line="276" w:lineRule="auto"/>
        <w:jc w:val="both"/>
      </w:pPr>
    </w:p>
    <w:p>
      <w:pPr>
        <w:spacing w:before="0" w:after="40" w:line="276" w:lineRule="auto"/>
        <w:jc w:val="right"/>
      </w:pPr>
      <w:r>
        <w:t xml:space="preserve">УТВЕРЖДАЮ</w:t>
      </w:r>
    </w:p>
    <w:p>
      <w:pPr>
        <w:spacing w:before="0" w:after="40" w:line="276" w:lineRule="auto"/>
        <w:jc w:val="right"/>
      </w:pPr>
      <w:r>
        <w:t xml:space="preserve">Заместитель директора по развитию и технологическому присоединению</w:t>
      </w:r>
    </w:p>
    <w:p>
      <w:pPr>
        <w:spacing w:before="0" w:after="40" w:line="276" w:lineRule="auto"/>
        <w:jc w:val="right"/>
      </w:pPr>
      <w:r>
        <w:t xml:space="preserve">_______________ Чепусов А.В.</w:t>
      </w:r>
    </w:p>
    <w:p>
      <w:pPr>
        <w:spacing w:before="0" w:after="40" w:line="276" w:lineRule="auto"/>
        <w:jc w:val="right"/>
      </w:pPr>
      <w:r>
        <w:t xml:space="preserve">«____» _______________ 2026 г.</w:t>
      </w:r>
    </w:p>
    <w:p>
      <w:pPr>
        <w:spacing w:before="0" w:after="1100" w:line="276" w:lineRule="auto"/>
        <w:jc w:val="both"/>
      </w:pPr>
    </w:p>
    <w:p>
      <w:pPr>
        <w:spacing w:before="0" w:after="160" w:line="276" w:lineRule="auto"/>
        <w:jc w:val="center"/>
      </w:pPr>
      <w:r>
        <w:rPr>
          <w:b/>
          <w:bCs/>
          <w:sz w:val="34"/>
          <w:szCs w:val="34"/>
        </w:rPr>
        <w:t xml:space="preserve">ОТЧЁТ</w:t>
      </w:r>
    </w:p>
    <w:p>
      <w:pPr>
        <w:spacing w:before="0" w:after="120" w:line="276" w:lineRule="auto"/>
        <w:jc w:val="center"/>
      </w:pPr>
      <w:r>
        <w:rPr>
          <w:b/>
          <w:bCs/>
        </w:rPr>
        <w:t xml:space="preserve">о результатах работ по осмотру, измерению и обследованию объекта инфраструктуры, выполненных для предоставления информации, предусмотренной пунктом 13 Правил недискриминационного доступа к инфраструктуре для размещения сетей электросвязи (утв. постановлением Правительства Российской Федерации от 22.11.2022 № 2106)</w:t>
      </w:r>
    </w:p>
    <w:p>
      <w:pPr>
        <w:spacing w:before="0" w:after="1100" w:line="276" w:lineRule="auto"/>
        <w:jc w:val="both"/>
      </w:pPr>
    </w:p>
    <w:p>
      <w:pPr>
        <w:spacing w:before="0" w:after="120" w:line="276" w:lineRule="auto"/>
        <w:jc w:val="center"/>
      </w:pPr>
      <w:r>
        <w:t xml:space="preserve">Объект инфраструктуры: ВЛ 0,4-10 кВ Старощербиновская</w:t>
      </w:r>
    </w:p>
    <w:p>
      <w:pPr>
        <w:spacing w:before="0" w:after="120" w:line="276" w:lineRule="auto"/>
        <w:jc w:val="center"/>
      </w:pPr>
      <w:r>
        <w:t xml:space="preserve">Краснодарский край, Щербиновский район, ст. Старощербиновская</w:t>
      </w:r>
    </w:p>
    <w:p>
      <w:pPr>
        <w:spacing w:before="0" w:after="120" w:line="276" w:lineRule="auto"/>
        <w:jc w:val="center"/>
      </w:pPr>
      <w:r>
        <w:t xml:space="preserve"> </w:t>
      </w:r>
    </w:p>
    <w:p>
      <w:pPr>
        <w:spacing w:before="0" w:after="120" w:line="276" w:lineRule="auto"/>
        <w:jc w:val="center"/>
      </w:pPr>
      <w:r>
        <w:t xml:space="preserve">Пользователь инфраструктуры: ООО «ЭпосТелеКом» в интересах ПАО «Вымпелком»</w:t>
      </w:r>
    </w:p>
    <w:p>
      <w:pPr>
        <w:spacing w:before="0" w:after="120" w:line="276" w:lineRule="auto"/>
        <w:jc w:val="center"/>
      </w:pPr>
      <w:r>
        <w:t xml:space="preserve">Запрос исх. № 104 от 20.04.2026</w:t>
      </w:r>
    </w:p>
    <w:p>
      <w:pPr>
        <w:spacing w:before="0" w:after="1100" w:line="276" w:lineRule="auto"/>
        <w:jc w:val="both"/>
      </w:pPr>
    </w:p>
    <w:p>
      <w:pPr>
        <w:spacing w:before="0" w:after="120" w:line="276" w:lineRule="auto"/>
        <w:jc w:val="center"/>
      </w:pPr>
      <w:r>
        <w:t xml:space="preserve">Регистрационный номер 00028 от 05.08.2026</w:t>
      </w:r>
    </w:p>
    <w:p>
      <w:pPr>
        <w:spacing w:before="0" w:after="120" w:line="276" w:lineRule="auto"/>
        <w:jc w:val="center"/>
      </w:pPr>
      <w:r>
        <w:t xml:space="preserve">2026</w:t>
      </w: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Служебные отметки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Основание выполнения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Запрос пользователя инфраструктуры исх. № 104 от 20.04.2026 (вх. № КЭ/ЛЭС/771 от 22.04.2026); пункт 13 Правил; договор (счёт) № 00028 от 29.04.2026 — работы по осмотру, измерению и обследованию объекта инфраструктуры (абзац второй пункта 16 Правил)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Срок предоставления информации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Расчётная предельная дата: </w:t>
            </w:r>
            <w:r>
              <w:rPr>
                <w:b/>
                <w:bCs/>
                <w:sz w:val="19"/>
                <w:szCs w:val="19"/>
              </w:rPr>
              <w:t xml:space="preserve">12.08.2026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20"/>
                <w:szCs w:val="20"/>
              </w:rPr>
              <w:t xml:space="preserve">(дата исполнения обязательств по заключённому договору (счёту) № 00028 от 29.04.2026)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Режим информации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Конфиденциально. Предоставляется при наличии письменного обязательства пользователя инфраструктуры о сохранении конфиденциальности и неиспользовании информации в противоправных целях (пункт 15 Правил). Обязательство: обязательство б/н от 22.04.2026, подписант — генеральный директор Иванов И.И.. </w:t>
            </w:r>
            <w:r>
              <w:rPr>
                <w:sz w:val="20"/>
                <w:szCs w:val="20"/>
              </w:rPr>
              <w:t xml:space="preserve">Обязательство по пункту 15 Правил является самостоятельным документом; реквизиты договора (счёта) его не заменяют.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Ответственность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Владелец инфраструктуры несёт ответственность за своевременность, полноту и достоверность предоставляемой информации (пункт 17 Правил)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Срок актуальности сведений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12 мес. с даты отчёта — условие владельца инфраструктуры; Правилами такой срок не установлен. По истечении срока, а также при изменении схемы, состава размещённых элементов или заявленных характеристик кабеля сведения подлежат подтверждению повторным осмотром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Организация, выполнившая работы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филиал ПАО «Россети Юг» — «Кубаньэнерго», департамент развития нетарифных услуг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Руководитель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главный специалист ДРНУ Логачев М.А.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Правовая квалификация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Обследование объекта инфраструктуры в целях рассмотрения заявления о предоставлении доступа. Отчёт </w:t>
            </w:r>
            <w:r>
              <w:rPr>
                <w:b/>
                <w:bCs/>
                <w:sz w:val="19"/>
                <w:szCs w:val="19"/>
              </w:rPr>
              <w:t xml:space="preserve">не является</w:t>
            </w:r>
            <w:r>
              <w:rPr>
                <w:sz w:val="19"/>
                <w:szCs w:val="19"/>
              </w:rPr>
              <w:t xml:space="preserve"> результатом инженерных изысканий в значении статьи 47 Градостроительного кодекса Российской Федерации, проектной документацией в значении статьи 48 Градостроительного кодекса Российской Федерации и Положения, утв. постановлением Правительства Российской Федерации от 16.02.2008 № 87, а также заключением об обследовании технического состояния строительных конструкций</w:t>
            </w:r>
          </w:p>
        </w:tc>
      </w:tr>
    </w:tbl>
    <w:p>
      <w:pPr>
        <w:spacing w:after="120" w:line="240" w:lineRule="auto"/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1 Основание, предмет и объём работ</w:t>
      </w:r>
    </w:p>
    <w:p>
      <w:pPr>
        <w:spacing w:before="0" w:after="120" w:line="276" w:lineRule="auto"/>
        <w:jc w:val="both"/>
      </w:pPr>
      <w:r>
        <w:t xml:space="preserve">1.1 Настоящий отчёт подготовлен во исполнение запроса пользователя инфраструктуры исх. № 104 от 20.04.2026 (зарегистрирован вх. № КЭ/ЛЭС/771 от 22.04.2026), направленного в соответствии с пунктом 13 Правил недискриминационного доступа к инфраструктуре для размещения сетей электросвязи, утверждённых постановлением Правительства Российской Федерации от 22.11.2022 № 2106 (далее — Правила).</w:t>
      </w:r>
    </w:p>
    <w:p>
      <w:pPr>
        <w:spacing w:before="0" w:after="120" w:line="276" w:lineRule="auto"/>
        <w:jc w:val="both"/>
      </w:pPr>
      <w:r>
        <w:t xml:space="preserve">1.2 Предмет отчёта — предоставление пользователю инфраструктуры информации, предусмотренной подпунктами «а»–«д» пункта 13 Правил, в отношении объекта инфраструктуры ВЛ 0,4-10 кВ Старощербиновская.</w:t>
      </w:r>
    </w:p>
    <w:p>
      <w:pPr>
        <w:spacing w:before="0" w:after="120" w:line="276" w:lineRule="auto"/>
        <w:jc w:val="both"/>
      </w:pPr>
      <w:r>
        <w:t xml:space="preserve">1.3 Для подготовки информации владельцем инфраструктуры выполнены работы по осмотру, измерению и обследованию объекта инфраструктуры. Основание взимания платы за предоставление информации — абзац второй пункта 16 Правил.</w:t>
      </w:r>
    </w:p>
    <w:p>
      <w:pPr>
        <w:spacing w:before="0" w:after="120" w:line="276" w:lineRule="auto"/>
        <w:jc w:val="both"/>
      </w:pPr>
      <w:r>
        <w:t xml:space="preserve">1.4 Отчёт не является проектной документацией и не заменяет проект размещения сети электросвязи. Приведённые сведения подлежат использованию пользователем инфраструктуры при разработке проектной документации.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1.5 Границы работ по осмотру и измерению и их отграничение от проектной документации</w:t>
      </w:r>
    </w:p>
    <w:p>
      <w:pPr>
        <w:spacing w:before="0" w:after="120" w:line="276" w:lineRule="auto"/>
        <w:jc w:val="both"/>
      </w:pPr>
      <w:r>
        <w:t xml:space="preserve">В предмет настоящего отчёта входят исключительно результаты осмотра и инструментальных измерений технического состояния объекта инфраструктуры, необходимые для оценки наличия технологической возможности доступа (пункт 6 Технических требований к размещению сетей электросвязи на ВЛ, утверждённых распоряжением ПАО «Россети» от 18.05.2026 № 282р; ГОСТ 31937-2024).</w:t>
      </w:r>
    </w:p>
    <w:p>
      <w:pPr>
        <w:spacing w:before="0" w:after="120" w:line="276" w:lineRule="auto"/>
        <w:jc w:val="both"/>
      </w:pPr>
      <w:r>
        <w:t xml:space="preserve">К предмету отчёта относятся: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визуальный осмотр надземной части опор и их конструктивных элементов (стойка, приставка, бандаж, траверса, узлы крепления) с выявлением дефектов и присвоением категории технического состояния по ГОСТ 31937-2024;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инструментальные измерения геометрических и прочностных параметров (отклонение от вертикали, прочность бетона, габариты, расстояния, сопротивление заземления и др.);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учёт ранее размещённых на опорах элементов сетей электросвязи (точек доступа);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сводная оценка наличия (отсутствия) технологической возможности доступа по результатам осмотра и измерений.</w:t>
      </w:r>
    </w:p>
    <w:p>
      <w:pPr>
        <w:spacing w:before="0" w:after="120" w:line="276" w:lineRule="auto"/>
        <w:jc w:val="both"/>
      </w:pPr>
      <w:r>
        <w:t xml:space="preserve">За границами отчёта и в предмет проектной документации пользователя инфраструктуры входят (носят в отчёте рекомендательный характер):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поверочные расчёты дополнительных и суммарных нагрузок на опоры по ПУЭ-7 (глава 2.5) и СП 20.13330.2016 (пункт 6 ТТ № 282р);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выбор марок кабеля, типов и конкретных узлов крепления, натяжных и поддерживающих зажимов, линейной арматуры и её привязка к типам опор;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определение точек и высот подвеса, стрел провеса, тяжений, схем прохождения трассы;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технические решения по устранению выявленных дефектов и несоответствий (состав, объём, стоимость работ);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мероприятия по пунктам 3–5 ТТ № 282р (бирки, экранирующие устройства, технологический запас, муфты, шкафы и пр.).</w:t>
      </w:r>
    </w:p>
    <w:p>
      <w:pPr>
        <w:spacing w:before="0" w:after="120" w:line="276" w:lineRule="auto"/>
        <w:jc w:val="both"/>
      </w:pPr>
      <w:r>
        <w:t xml:space="preserve">Приведённые в разделах 5, 6 и приложении Ж отчёта оценки нагрузок и мероприятия являются предварительными (рекомендательными) и подлежат подтверждению и детализации в проектной документации в порядке пункта 6 ТТ № 282р и пункта 5.1 ТТ № 282р (размещение — только на основании согласованной с владельцем ВЛ проектной и рабочей документации).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1.6 Работы, не выполнявшиеся</w:t>
      </w:r>
    </w:p>
    <w:p>
      <w:pPr>
        <w:spacing w:before="0" w:after="120" w:line="276" w:lineRule="auto"/>
        <w:jc w:val="both"/>
      </w:pPr>
      <w:r>
        <w:t xml:space="preserve">При обследовании </w:t>
      </w:r>
      <w:r>
        <w:rPr>
          <w:b/>
          <w:bCs/>
        </w:rPr>
        <w:t xml:space="preserve">не выполнялись</w:t>
      </w:r>
      <w:r>
        <w:t xml:space="preserve">: вскрытие грунта и обследование подземной части опор и фундаментов; неразрушающий контроль металла; геодезическая съёмка трассы; инженерно-геологические изыскания; оценка коррозионной активности грунтов.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Перечисленные работы относятся к составу инженерных изысканий (статья 47 Градостроительного кодекса Российской Федерации, СП 47.13330.2016) и в предмет настоящего отчёта не входят. Выводы отчёта в части, зависящей от этих работ, подлежат подтверждению в проектной документации.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1.7 Исходные данные и их источники</w:t>
      </w:r>
    </w:p>
    <w:p>
      <w:pPr>
        <w:spacing w:before="0" w:after="120" w:line="276" w:lineRule="auto"/>
        <w:jc w:val="both"/>
      </w:pPr>
      <w:r>
        <w:t xml:space="preserve">Паспорт ВЛ — предоставлен Ленинградскими ЭС 24.04.2026; исполнительная документация — частично; реестр договоров на 20.04.2026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1.8 Ограничения исходных данных</w:t>
      </w:r>
    </w:p>
    <w:p>
      <w:pPr>
        <w:spacing w:before="0" w:after="120" w:line="276" w:lineRule="auto"/>
        <w:jc w:val="both"/>
      </w:pPr>
      <w:r>
        <w:t xml:space="preserve">При выполнении работ установлены следующие ограничения исходных данных, влияющие на объём и точность выводов: на 5 опорах фактический пролёт превышает габаритный по типовому проекту. В указанной части выводы отчёта подлежат подтверждению в проектной документации.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Настоящий раздел приведён во исполнение статьи 716 Гражданского кодекса Российской Федерации. Владелец инфраструктуры отвечает за достоверность собственных выводов; за полноту и достоверность данных, предоставленных иными лицами, ответственность несут предоставившие их лица (статья 759 Гражданского кодекса Российской Федерации).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2 Сведения о владельце и пользователе инфраструктуры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Владелец инфраструктуры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Публичное акционерное общество «Россети Юг»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Филиал / производственное отделение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филиал ПАО «Россети Юг» — «Кубаньэнерго», Ленинградские электрические сети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353740, Краснодарский край, ст. Ленинградская, ул. им. 302 Дивизии, 6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Основание владения объектом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право собственности, запись ЕГРН от 12.03.2011 № 23-23-01/1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Пользователь инфраструктуры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ООО «ЭпосТелеКом» в интересах ПАО «Вымпелком»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Адрес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344034, г. Ростов-на-Дону, ул. Привокзальная, 2А</w:t>
            </w:r>
          </w:p>
        </w:tc>
      </w:tr>
    </w:tbl>
    <w:p>
      <w:pPr>
        <w:spacing w:after="120" w:line="240" w:lineRule="auto"/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3 Объект инфраструктуры и схемы его размещения</w:t>
      </w:r>
    </w:p>
    <w:p>
      <w:pPr>
        <w:spacing w:before="0" w:after="140" w:line="276" w:lineRule="auto"/>
        <w:jc w:val="both"/>
      </w:pPr>
      <w:r>
        <w:rPr>
          <w:i/>
          <w:iCs/>
          <w:sz w:val="21"/>
          <w:szCs w:val="21"/>
        </w:rPr>
        <w:t xml:space="preserve">Раздел содержит информацию, предусмотренную подпунктом «а» пункта 13 Правил.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3.1 Общая характеристика объекта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Вид объекта инфраструктуры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сопряжённый объект инфраструктуры — воздушная линия электропередачи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Наименование объекта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ВЛ 0,4-10 кВ Старощербиновская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Класс(ы) напряжения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0,4; 10 кВ (наибольший — 10 кВ)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Место расположения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Краснодарский край, Щербиновский район, ст. Старощербиновская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Протяжённость участка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1,94 км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Количество опор в границах запроса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55 шт.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Типы применённых опор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УА8-1 — 8 шт.; КА8-1 — 8 шт.; ОА8-1 — 7 шт.; П8-1 — 7 шт.; УА10-1 — 7 шт.; А10-1 — 6 шт.; ОА10-1 — 6 шт.; П10-1 — 6 шт.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Охранная зона (ПП РФ № 160 от 24.02.2009)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Сведения в информационной системе владельца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color w:val="005B9C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3.2 Линии, входящие в границы запроса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74"/>
        <w:gridCol w:w="1497"/>
        <w:gridCol w:w="2058"/>
        <w:gridCol w:w="1403"/>
        <w:gridCol w:w="655"/>
        <w:gridCol w:w="561"/>
        <w:gridCol w:w="2058"/>
        <w:gridCol w:w="748"/>
      </w:tblGrid>
      <w:tr>
        <w:trPr>
          <w:cantSplit/>
          <w:tblHeader/>
        </w:trPr>
        <w:tc>
          <w:tcPr>
            <w:tcW w:w="37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149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Диспетчерское наименование</w:t>
            </w:r>
          </w:p>
        </w:tc>
        <w:tc>
          <w:tcPr>
            <w:tcW w:w="140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Инвентарный номер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Год ввода</w:t>
            </w:r>
          </w:p>
        </w:tc>
        <w:tc>
          <w:tcPr>
            <w:tcW w:w="56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Класс, кВ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Основание права</w:t>
            </w:r>
          </w:p>
        </w:tc>
        <w:tc>
          <w:tcPr>
            <w:tcW w:w="74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Опор в границах запроса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49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кВ № 1 от ТП Сщ-7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23:00:0000:1001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1987</w:t>
            </w:r>
          </w:p>
        </w:tc>
        <w:tc>
          <w:tcPr>
            <w:tcW w:w="56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собственность, ЕГРН 23-23-01/1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</w:tr>
      <w:tr>
        <w:trPr>
          <w:cantSplit/>
        </w:trPr>
        <w:tc>
          <w:tcPr>
            <w:tcW w:w="3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49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кВ Сщ-2 от ПС 35/10 Щербиновская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23:00:0000:1002</w:t>
            </w:r>
          </w:p>
        </w:tc>
        <w:tc>
          <w:tcPr>
            <w:tcW w:w="6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1979</w:t>
            </w:r>
          </w:p>
        </w:tc>
        <w:tc>
          <w:tcPr>
            <w:tcW w:w="56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собственность, ЕГРН 23-23-01/2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Планы ремонта и реконструкции: не значится.</w:t>
      </w:r>
    </w:p>
    <w:p>
      <w:pPr>
        <w:spacing w:before="0" w:after="120" w:line="276" w:lineRule="auto"/>
        <w:jc w:val="both"/>
      </w:pPr>
      <w:r>
        <w:t xml:space="preserve">Иные заявки на участок: нет.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Планы ремонта и реконструкции объекта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 утверждённой программе ремонта на 2026 год участок не значится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Иные заявки на тот же участок (очерёдность)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иных заявлений на участок не зарегистрировано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3.3 Расчётные климатические условия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Район по ветровому давлению (ПУЭ-7, табл. 2.5.1)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III, ветровое давление — 650 Па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Район по гололёду (ПУЭ-7, табл. 2.5.3)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II, толщина стенки гололёда — 15 мм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Тип местности по условиям воздействия ветра (ПУЭ-7, п. 2.5.6)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Сейсмичность площадки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8 (ОСР-2015-А)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Источник климатических данных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карты климатического районирования ПУЭ-7 (табл. 2.5.1, 2.5.3); СП 131.13330.2020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3.4 Нормируемые габариты и расстояния (по классам напряжения)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1123"/>
        <w:gridCol w:w="2058"/>
        <w:gridCol w:w="2058"/>
        <w:gridCol w:w="2058"/>
        <w:gridCol w:w="2058"/>
      </w:tblGrid>
      <w:tr>
        <w:trPr>
          <w:cantSplit/>
          <w:tblHeader/>
        </w:trPr>
        <w:tc>
          <w:tcPr>
            <w:tcW w:w="112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Класс напряжения, кВ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Габарит провода до земли (ПУЭ-7 табл. 2.5.20/2.5.22)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Габарит ОК до земли (ПУЭ-7 п. 2.4.89; ТТ № 282р п. 3.2.4)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Минимальное расстояние ОК–провод (ТТ № 282р п. 3.2.2)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Охранная зона (ПП РФ № 160)</w:t>
            </w:r>
          </w:p>
        </w:tc>
      </w:tr>
      <w:tr>
        <w:trPr>
          <w:cantSplit/>
        </w:trPr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0,4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6 м — населённая; 6 м — ненаселённая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 м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0,4 м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 м</w:t>
            </w:r>
          </w:p>
        </w:tc>
      </w:tr>
      <w:tr>
        <w:trPr>
          <w:cantSplit/>
        </w:trPr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7 м — населённая; 6 м — ненаселённая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 м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0,6 м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10 м</w:t>
            </w:r>
          </w:p>
        </w:tc>
      </w:tr>
    </w:tbl>
    <w:p>
      <w:pPr>
        <w:spacing w:after="120" w:line="240" w:lineRule="auto"/>
      </w:pP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Минимальное расстояние ОК до элементов опоры (ТТ № 282р п. 3.2.3)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0,20 м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Минимальные расстояния между точками крепления кабелей (ТТ № 282р пп. 3.2.5–3.2.6)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по горизонтали и вертикали — не менее 0,30 м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Значения приведены как нормативные требования для проверки в проектной документации; фактические габариты и расстояния — по результатам измерений (приложение Г).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3.5 Перечень задействованных опор</w:t>
      </w:r>
    </w:p>
    <w:p>
      <w:pPr>
        <w:spacing w:before="0" w:after="120" w:line="276" w:lineRule="auto"/>
        <w:jc w:val="both"/>
      </w:pPr>
      <w:r>
        <w:t xml:space="preserve">Перечень опор, входящих в границы запроса, с указанием марки, материала, типа, длины пролёта, выявленных дефектов и категории технического состояния по ГОСТ 31937-2024 приведён в приложении Б (55 поз.).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3.6 Схема размещения объекта инфраструктуры</w:t>
      </w:r>
    </w:p>
    <w:p>
      <w:pPr>
        <w:spacing w:before="0" w:after="120" w:line="276" w:lineRule="auto"/>
        <w:jc w:val="both"/>
      </w:pPr>
      <w:r>
        <w:t xml:space="preserve">Ситуационный план прохождения трассы с нанесением номеров опор и границ запрашиваемого участка приведён в приложении А.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3.7 Сведения о размещаемой сети электросвязи (по данным пользователя инфраструктуры)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281"/>
        <w:gridCol w:w="1123"/>
        <w:gridCol w:w="1871"/>
        <w:gridCol w:w="655"/>
        <w:gridCol w:w="748"/>
        <w:gridCol w:w="842"/>
        <w:gridCol w:w="842"/>
        <w:gridCol w:w="748"/>
        <w:gridCol w:w="936"/>
        <w:gridCol w:w="1310"/>
      </w:tblGrid>
      <w:tr>
        <w:trPr>
          <w:cantSplit/>
          <w:tblHeader/>
        </w:trPr>
        <w:tc>
          <w:tcPr>
            <w:tcW w:w="28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112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Марка</w:t>
            </w:r>
          </w:p>
        </w:tc>
        <w:tc>
          <w:tcPr>
            <w:tcW w:w="18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Тип элемента сети электросвязи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Диаметр, мм</w:t>
            </w:r>
          </w:p>
        </w:tc>
        <w:tc>
          <w:tcPr>
            <w:tcW w:w="74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Масса, кг/км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Допустимое тяжение, кН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Монтажное тяжение, кН</w:t>
            </w:r>
          </w:p>
        </w:tc>
        <w:tc>
          <w:tcPr>
            <w:tcW w:w="74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Высота подвеса, 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Класс напряжения</w:t>
            </w:r>
          </w:p>
        </w:tc>
        <w:tc>
          <w:tcPr>
            <w:tcW w:w="131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Линейная арматура</w:t>
            </w:r>
          </w:p>
        </w:tc>
      </w:tr>
      <w:tr>
        <w:trPr>
          <w:cantSplit/>
        </w:trPr>
        <w:tc>
          <w:tcPr>
            <w:tcW w:w="28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ОКСН-6-2,7</w:t>
            </w:r>
          </w:p>
        </w:tc>
        <w:tc>
          <w:tcPr>
            <w:tcW w:w="18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10,5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90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2,7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2,7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6,5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все классы</w:t>
            </w:r>
          </w:p>
        </w:tc>
        <w:tc>
          <w:tcPr>
            <w:tcW w:w="131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спиральная натяжная и поддерживающая, сертифицирована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Объект включает несколько классов напряжения, для которых нормируемые габариты различаются. Размещаемые элементы сети электросвязи закреплены за классами напряжения; оценка несущей способности (раздел 5, приложение Ж) по каждой опоре выполнена применительно к элементам её класса напряжения.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4 Работы по осмотру, измерению и обследованию объекта инфраструктуры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4.1 Сроки и методы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Техническое задание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ТЗ № ДРНУ-2026-00028 от 29.04.2026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Программа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 № ДРНУ-2026-00028 от 29.04.2026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Период выполнения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 29.07.2026 по 05.08.2026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Применённые методы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визуальный осмотр по ГОСТ 31937-2024; геодезические измерения отклонений и габаритов; неразрушающий контроль прочности бетона по ГОСТ 22690-2015; измерение сопротивления заземляющих устройств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Состав исполнителей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ведущий специалист ДРНУ Гордеева Е.В. (гр. IV); электромонтёр Петров П.П. (гр. III)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Наряд-допуск / распоряжение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наряд-допуск № 118 от 29.07.2026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Схема производства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без снятия напряжения (в охранной зоне, по наряду-допуску)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Выборка при измерении сопротивления заземления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повторные заземлители и опоры с разрядниками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Работы выполнены бригадой в составе не менее двух работников с оформлением наряда-допуска в соответствии с Правилами по охране труда при эксплуатации электроустановок, утв. приказом Минтруда России от 15.12.2020 № 903н.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4.2 Применённые средства измерений</w:t>
      </w:r>
    </w:p>
    <w:p>
      <w:pPr>
        <w:spacing w:before="0" w:after="120" w:line="276" w:lineRule="auto"/>
        <w:jc w:val="both"/>
      </w:pPr>
      <w:r>
        <w:t xml:space="preserve">Перечень средств измерений с заводскими номерами и сведениями о поверке, включая номера записей о поверке во ФГИС «Аршин», приведён в приложении Д. Все применённые средства измерений на дату выполнения работ имели действующую поверку.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4.3 Результаты осмотра</w:t>
      </w:r>
    </w:p>
    <w:p>
      <w:pPr>
        <w:spacing w:before="0" w:after="120" w:line="276" w:lineRule="auto"/>
        <w:jc w:val="both"/>
      </w:pPr>
      <w:r>
        <w:t xml:space="preserve">Ведомость выявленных дефектов с указанием категории дефекта и категории технического состояния конструкций по ГОСТ 31937-2024, а также фотоматериалы приведены в приложении В. Дефекты выявлены на 3 опорах, в том числе категории A — 1, категории Б — 2, категории В — 0.</w:t>
      </w:r>
    </w:p>
    <w:p>
      <w:pPr>
        <w:spacing w:before="0" w:after="120" w:line="276" w:lineRule="auto"/>
        <w:jc w:val="both"/>
      </w:pPr>
      <w:r>
        <w:t xml:space="preserve">Сводные результаты осмотра: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4303"/>
        <w:gridCol w:w="1497"/>
        <w:gridCol w:w="3555"/>
      </w:tblGrid>
      <w:tr>
        <w:trPr>
          <w:cantSplit/>
          <w:tblHeader/>
        </w:trPr>
        <w:tc>
          <w:tcPr>
            <w:tcW w:w="430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Категория технического состояния (ГОСТ 31937-2024)</w:t>
            </w:r>
          </w:p>
        </w:tc>
        <w:tc>
          <w:tcPr>
            <w:tcW w:w="149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Опор, шт.</w:t>
            </w:r>
          </w:p>
        </w:tc>
        <w:tc>
          <w:tcPr>
            <w:tcW w:w="35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Влияние на возможность размещения</w:t>
            </w:r>
          </w:p>
        </w:tc>
      </w:tr>
      <w:tr>
        <w:trPr>
          <w:cantSplit/>
        </w:trPr>
        <w:tc>
          <w:tcPr>
            <w:tcW w:w="43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Нормативное (работоспособное) — дефектов не выявлено</w:t>
            </w:r>
          </w:p>
        </w:tc>
        <w:tc>
          <w:tcPr>
            <w:tcW w:w="149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w="355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Размещение возможно без дополнительных условий</w:t>
            </w:r>
          </w:p>
        </w:tc>
      </w:tr>
      <w:tr>
        <w:trPr>
          <w:cantSplit/>
        </w:trPr>
        <w:tc>
          <w:tcPr>
            <w:tcW w:w="43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Работоспособное — малозначительные повреждения (категория В)</w:t>
            </w:r>
          </w:p>
        </w:tc>
        <w:tc>
          <w:tcPr>
            <w:tcW w:w="149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35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Размещение возможно без дополнительных условий</w:t>
            </w:r>
          </w:p>
        </w:tc>
      </w:tr>
      <w:tr>
        <w:trPr>
          <w:cantSplit/>
        </w:trPr>
        <w:tc>
          <w:tcPr>
            <w:tcW w:w="43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Ограниченно работоспособное</w:t>
            </w:r>
          </w:p>
        </w:tc>
        <w:tc>
          <w:tcPr>
            <w:tcW w:w="149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355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Размещение возможно после выполнения мероприятий раздела 6</w:t>
            </w:r>
          </w:p>
        </w:tc>
      </w:tr>
      <w:tr>
        <w:trPr>
          <w:cantSplit/>
        </w:trPr>
        <w:tc>
          <w:tcPr>
            <w:tcW w:w="43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Аварийное</w:t>
            </w:r>
          </w:p>
        </w:tc>
        <w:tc>
          <w:tcPr>
            <w:tcW w:w="149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35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Размещение не допускается до восстановления несущей способности</w:t>
            </w:r>
          </w:p>
        </w:tc>
      </w:tr>
      <w:tr>
        <w:trPr>
          <w:cantSplit/>
        </w:trPr>
        <w:tc>
          <w:tcPr>
            <w:tcW w:w="43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w="149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55</w:t>
            </w:r>
          </w:p>
        </w:tc>
        <w:tc>
          <w:tcPr>
            <w:tcW w:w="355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4.4 Результаты измерений</w:t>
      </w:r>
    </w:p>
    <w:p>
      <w:pPr>
        <w:spacing w:before="0" w:after="120" w:line="276" w:lineRule="auto"/>
        <w:jc w:val="both"/>
      </w:pPr>
      <w:r>
        <w:t xml:space="preserve">Протоколы разделены на две части. В приложении Г.1 приведены результаты инструментальных измерений фактического состояния конструкций (77 измерений). В приложении Г.2 приведена оценка достаточности фактически свободных интервалов под размещение оптического кабеля (12 позиций).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Размещаемый кабель на дату обследования не смонтирован, поэтому величины приложения Г.2 являются не измерениями кабеля, а фактически свободными интервалами; вывод по ним даётся в форме «достаточно / недостаточно». Окончательные габариты и расстояния с учётом стрел провеса, высот и точек подвеса определяются проектной документацией.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5 Наличие (отсутствие) технологической возможности предоставления доступа</w:t>
      </w:r>
    </w:p>
    <w:p>
      <w:pPr>
        <w:spacing w:before="0" w:after="140" w:line="276" w:lineRule="auto"/>
        <w:jc w:val="both"/>
      </w:pPr>
      <w:r>
        <w:rPr>
          <w:i/>
          <w:iCs/>
          <w:sz w:val="21"/>
          <w:szCs w:val="21"/>
        </w:rPr>
        <w:t xml:space="preserve">Раздел содержит информацию, предусмотренную подпунктом «б» пункта 13 Правил.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5.1 Критерии оценки</w:t>
      </w:r>
    </w:p>
    <w:p>
      <w:pPr>
        <w:spacing w:before="0" w:after="120" w:line="276" w:lineRule="auto"/>
        <w:jc w:val="both"/>
      </w:pPr>
      <w:r>
        <w:t xml:space="preserve">Технологическая возможность оценивалась исходя из определения, приведённого в пункте 2 Правил, и условия абзаца второго пункта 18 Правил: размещение сети электросвязи не должно препятствовать использованию объекта инфраструктуры по прямому назначению и должно обеспечивать безопасность его функционирования. Применены критерии: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соответствие опор дополнительным нагрузкам от размещаемой сети электросвязи (собственный вес, гололёдная и ветровая нагрузки, тяжение);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сохранение нормируемых габаритов до земли, пересекаемых объектов и насаждений (ПУЭ-7, глава 2.5);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сохранение нормируемых изоляционных расстояний до токоведущих частей;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фактическое техническое состояние несущих конструкций по результатам осмотра и измерений;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наличие свободного места с учётом ранее размещённых элементов сетей электросвязи.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5.2 Предварительная оценка соответствия дополнительным нагрузкам</w:t>
      </w:r>
    </w:p>
    <w:p>
      <w:pPr>
        <w:spacing w:before="0" w:after="120" w:line="276" w:lineRule="auto"/>
        <w:jc w:val="both"/>
      </w:pPr>
      <w:r>
        <w:t xml:space="preserve">Оценка выполнена применительно к суммарным дополнительным нагрузкам от ОКСН-6-2,7 (собственный вес, гололёдная и ветровая нагрузки, тяжение) при расчётных климатических условиях, приведённых в подразделе 3.2. Опор, отнесённых по результатам осмотра к аварийной категории технического состояния, — 1 шт.; восприятие дополнительных нагрузок в их фактическом состоянии не обеспечивается, размещение до восстановления несущей способности не допускается. Опор, отнесённых к ограниченно работоспособной категории, — 2 шт.; восприятие дополнительных нагрузок обеспечивается при условии выполнения мероприятий, приведённых в приложении Е. По остальным опорам (52 шт.) ограничений по восприятию дополнительных нагрузок не выявлено.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Оценка носит предварительный (рекомендательный) характер. Поверочный расчёт суммарных нагрузок на каждую опору выполняется в проектной документации пользователя инфраструктуры по ПУЭ-7 (глава 2.5), СП 20.13330.2016 и типовому проекту (паспорту) опоры — пункт 6 ТТ № 282р.</w:t>
      </w:r>
    </w:p>
    <w:p>
      <w:pPr>
        <w:spacing w:before="0" w:after="120" w:line="276" w:lineRule="auto"/>
        <w:jc w:val="both"/>
      </w:pPr>
      <w:r>
        <w:t xml:space="preserve">Количественная сопоставительная оценка несущей способности опор по методике главы 2.5 ПУЭ-7 приведена в приложении Ж. Минимальный запас по изгибающему моменту составляет 54,6 %.</w:t>
      </w:r>
    </w:p>
    <w:p>
      <w:pPr>
        <w:spacing w:before="0" w:after="120" w:line="276" w:lineRule="auto"/>
        <w:jc w:val="both"/>
      </w:pPr>
      <w:r>
        <w:t xml:space="preserve">По опорам марок УА8-1, КА8-1, ОА8-1, УА10-1, А10-1, ОА10-1 количественная оценка запаса не приводится. Это анкерные, угловые, концевые и ответвительные опоры: они воспринимают неуравновешенное тяжение и работают совместно с подкосами, оттяжками и второй стойкой, которые упрощённая расчётная схема не описывает. Поверочный расчёт по расчётной схеме опоры включён в приложение Е.1 как мероприятие проектной документации (пункт 6 ТТ № 282р).</w:t>
      </w:r>
    </w:p>
    <w:p>
      <w:pPr>
        <w:spacing w:before="0" w:after="120" w:line="276" w:lineRule="auto"/>
        <w:jc w:val="both"/>
      </w:pPr>
      <w:r>
        <w:t xml:space="preserve">На 5 опорах фактический пролёт превышает габаритный по типовому проекту. Оценка выполнена по наибольшему пролёту в пределах марки; поверочный расчёт по этим опорам включён в приложение Е.1.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5.3 Оценка соблюдения габаритов и расстояний</w:t>
      </w:r>
    </w:p>
    <w:p>
      <w:pPr>
        <w:spacing w:before="0" w:after="120" w:line="276" w:lineRule="auto"/>
        <w:jc w:val="both"/>
      </w:pPr>
      <w:r>
        <w:t xml:space="preserve">Проверено сохранение нормируемых расстояний от проводов до поверхности земли, пересекаемых объектов и насаждений, а также изоляционных расстояний до токоведущих частей, установленных главой 2.5 ПУЭ-7. Высота подвеса, заявленная пользователем инфраструктуры, — 6.5 м от точки крепления; фактический габарит кабеля в наинизшей точке пролёта определяется стрелой провеса и устанавливается проектной документацией. По результатам измерений фактического состояния выявлено 6 отклонений от нормативных требований (приложение Г.1); соответствующие мероприятия включены в приложение Е.2. Недостаточность свободных интервалов под размещение кабеля установлена по 1 позиции (приложение Г.2); проектные решения по ним отнесены к приложению Е.1.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Окончательное подтверждение габаритов и расстояний (с учётом стрел провеса, высот и точек подвеса) выполняется в проектной документации — ТТ № 282р раздел 3, ПУЭ-7 глава 2.5.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5.4 Сводный результат по опорам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4865"/>
        <w:gridCol w:w="2245"/>
        <w:gridCol w:w="2245"/>
      </w:tblGrid>
      <w:tr>
        <w:trPr>
          <w:cantSplit/>
          <w:tblHeader/>
        </w:trPr>
        <w:tc>
          <w:tcPr>
            <w:tcW w:w="48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Технологическая возможность</w:t>
            </w:r>
          </w:p>
        </w:tc>
        <w:tc>
          <w:tcPr>
            <w:tcW w:w="224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Опор, шт.</w:t>
            </w:r>
          </w:p>
        </w:tc>
        <w:tc>
          <w:tcPr>
            <w:tcW w:w="224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Доля, %</w:t>
            </w:r>
          </w:p>
        </w:tc>
      </w:tr>
      <w:tr>
        <w:trPr>
          <w:cantSplit/>
        </w:trPr>
        <w:tc>
          <w:tcPr>
            <w:tcW w:w="48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Имеется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52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94,5</w:t>
            </w:r>
          </w:p>
        </w:tc>
      </w:tr>
      <w:tr>
        <w:trPr>
          <w:cantSplit/>
        </w:trPr>
        <w:tc>
          <w:tcPr>
            <w:tcW w:w="48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Имеется при условии выполнения мероприятий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3,6</w:t>
            </w:r>
          </w:p>
        </w:tc>
      </w:tr>
      <w:tr>
        <w:trPr>
          <w:cantSplit/>
        </w:trPr>
        <w:tc>
          <w:tcPr>
            <w:tcW w:w="48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Отсутствует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1,8</w:t>
            </w:r>
          </w:p>
        </w:tc>
      </w:tr>
      <w:tr>
        <w:trPr>
          <w:cantSplit/>
        </w:trPr>
        <w:tc>
          <w:tcPr>
            <w:tcW w:w="48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ИТОГО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55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Пообъектная разбивка приведена в приложении Б (графа «Технологическая возможность»).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5.5 Вывод о технологической возможности</w:t>
      </w:r>
    </w:p>
    <w:p>
      <w:pPr>
        <w:spacing w:before="0" w:after="120" w:line="276" w:lineRule="auto"/>
        <w:jc w:val="both"/>
      </w:pPr>
      <w:r>
        <w:t xml:space="preserve">Технологическая возможность предоставления доступа к ВЛ 0,4-10 кВ Старощербиновская имеется в ограниченном объёме: без дополнительных условий доступ может быть предоставлен по опорам в количестве 52 шт., после выполнения мероприятий раздела 6 — по 2 шт., по 1 шт. доступ предоставлен быть не может. В соответствии с пунктом 25 Правил пользователю инфраструктуры направляется уведомление о том, на каких условиях и в каком объёме может быть предоставлен доступ.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4865"/>
        <w:gridCol w:w="4490"/>
      </w:tblGrid>
      <w:tr>
        <w:trPr>
          <w:cantSplit/>
          <w:tblHeader/>
        </w:trPr>
        <w:tc>
          <w:tcPr>
            <w:tcW w:w="48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Вывод согласован</w:t>
            </w:r>
          </w:p>
        </w:tc>
        <w:tc>
          <w:tcPr>
            <w:tcW w:w="449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Подпись, дата</w:t>
            </w:r>
          </w:p>
        </w:tc>
      </w:tr>
      <w:tr>
        <w:trPr>
          <w:cantSplit/>
        </w:trPr>
        <w:tc>
          <w:tcPr>
            <w:tcW w:w="48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Главный инженер производственного отделения, Ковалёв С.Н.</w:t>
            </w:r>
          </w:p>
        </w:tc>
        <w:tc>
          <w:tcPr>
            <w:tcW w:w="44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_______________ «____» ____________ 2026 г.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5.6 Опоры в аварийном состоянии — эксплуатационное событие</w:t>
      </w:r>
    </w:p>
    <w:p>
      <w:pPr>
        <w:spacing w:before="0" w:after="120" w:line="276" w:lineRule="auto"/>
        <w:jc w:val="both"/>
      </w:pPr>
      <w:r>
        <w:t xml:space="preserve">Выявлено опор в аварийном состоянии — 1 шт. Независимо от рассмотрения заявления о предоставлении доступа сведения о них переданы в эксплуатирующее подразделение владельца инфраструктуры для принятия мер в порядке Правил технической эксплуатации: переданы в Ленинградские ЭС 05.08.2026, запись в журнале дефектов № 2026/441.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6 Порядок выполнения технологических, технических и иных мероприятий</w:t>
      </w:r>
    </w:p>
    <w:p>
      <w:pPr>
        <w:spacing w:before="0" w:after="140" w:line="276" w:lineRule="auto"/>
        <w:jc w:val="both"/>
      </w:pPr>
      <w:r>
        <w:rPr>
          <w:i/>
          <w:iCs/>
          <w:sz w:val="21"/>
          <w:szCs w:val="21"/>
        </w:rPr>
        <w:t xml:space="preserve">Раздел содержит информацию, предусмотренную подпунктом «в» пункта 13 Правил.</w:t>
      </w:r>
    </w:p>
    <w:p>
      <w:pPr>
        <w:spacing w:before="0" w:after="120" w:line="276" w:lineRule="auto"/>
        <w:jc w:val="both"/>
      </w:pPr>
      <w:r>
        <w:rPr>
          <w:b/>
          <w:bCs/>
        </w:rPr>
        <w:t xml:space="preserve">Мероприятия, приведённые в настоящем разделе, носят рекомендательный характер.</w:t>
      </w:r>
      <w:r>
        <w:t xml:space="preserve"> Их состав, объём, технические решения и стоимость определяются проектной документацией пользователя инфраструктуры и согласуются с владельцем инфраструктуры (пункты 5.1, 6 ТТ № 282р). Отчёт фиксирует лишь факт необходимости мероприятия по результатам осмотра и измерений.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6.1 Перечень мероприятий и распределение обязанностей</w:t>
      </w:r>
    </w:p>
    <w:p>
      <w:pPr>
        <w:spacing w:before="0" w:after="120" w:line="276" w:lineRule="auto"/>
        <w:jc w:val="both"/>
      </w:pPr>
      <w:r>
        <w:t xml:space="preserve">Перечень мероприятий, необходимость которых выявлена по результатам осмотра и измерений, приведён в приложении Е и разделён на две группы: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rPr>
          <w:b/>
          <w:bCs/>
        </w:rPr>
        <w:t xml:space="preserve">Е.1 — мероприятия, обусловленные размещением сети электросвязи</w:t>
      </w:r>
      <w:r>
        <w:t xml:space="preserve"> (6 поз.). Исполнитель — пользователь инфраструктуры. Сюда отнесены проектные решения по обеспечению нормируемых расстояний и поверочные расчёты в составе проектной документации;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rPr>
          <w:b/>
          <w:bCs/>
        </w:rPr>
        <w:t xml:space="preserve">Е.2 — устранение дефектов эксплуатации</w:t>
      </w:r>
      <w:r>
        <w:t xml:space="preserve"> (3 поз.). Исполнитель — владелец инфраструктуры. Сюда отнесены дефекты несущих конструкций, возникшие до подачи заявления и размещением сети электросвязи не вызванные.</w:t>
      </w:r>
    </w:p>
    <w:p>
      <w:pPr>
        <w:spacing w:before="0" w:after="120" w:line="276" w:lineRule="auto"/>
        <w:jc w:val="both"/>
      </w:pPr>
      <w:r>
        <w:t xml:space="preserve">Основание разделения: содержание принадлежащего владельцу имущества является его обязанностью (статья 210 Гражданского кодекса Российской Федерации, Правила технической эксплуатации). Отнесение устранения ранее возникших эксплуатационных дефектов на пользователя инфраструктуры в качестве условия предоставления доступа образует признаки навязывания невыгодных условий договора (часть 1 статьи 10 Федерального закона от 26.07.2006 № 135-ФЗ «О защите конкуренции») и настоящим отчётом не производится.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6.2 Последовательность выполнения</w:t>
      </w:r>
    </w:p>
    <w:p>
      <w:pPr>
        <w:spacing w:before="0" w:after="60" w:line="276" w:lineRule="auto"/>
        <w:ind w:left="720" w:hanging="260"/>
        <w:jc w:val="both"/>
      </w:pPr>
      <w:r>
        <w:t xml:space="preserve">1) </w:t>
      </w:r>
      <w:r>
        <w:t xml:space="preserve">Заключение договора о предоставлении доступа к инфраструктуре (пункты 19, 23, 26 Правил).</w:t>
      </w:r>
    </w:p>
    <w:p>
      <w:pPr>
        <w:spacing w:before="0" w:after="60" w:line="276" w:lineRule="auto"/>
        <w:ind w:left="720" w:hanging="260"/>
        <w:jc w:val="both"/>
      </w:pPr>
      <w:r>
        <w:t xml:space="preserve">2) </w:t>
      </w:r>
      <w:r>
        <w:t xml:space="preserve">Выполнение мероприятий приложения Е.2 владельцем инфраструктуры — до начала работ по размещению.</w:t>
      </w:r>
    </w:p>
    <w:p>
      <w:pPr>
        <w:spacing w:before="0" w:after="60" w:line="276" w:lineRule="auto"/>
        <w:ind w:left="720" w:hanging="260"/>
        <w:jc w:val="both"/>
      </w:pPr>
      <w:r>
        <w:t xml:space="preserve">3) </w:t>
      </w:r>
      <w:r>
        <w:t xml:space="preserve">Разработка пользователем инфраструктуры проектной документации и её согласование с владельцем инфраструктуры.</w:t>
      </w:r>
    </w:p>
    <w:p>
      <w:pPr>
        <w:spacing w:before="0" w:after="60" w:line="276" w:lineRule="auto"/>
        <w:ind w:left="720" w:hanging="260"/>
        <w:jc w:val="both"/>
      </w:pPr>
      <w:r>
        <w:t xml:space="preserve">4) </w:t>
      </w:r>
      <w:r>
        <w:t xml:space="preserve">Согласование графика производства работ и режимов работы объекта инфраструктуры (технологические отключения).</w:t>
      </w:r>
    </w:p>
    <w:p>
      <w:pPr>
        <w:spacing w:before="0" w:after="60" w:line="276" w:lineRule="auto"/>
        <w:ind w:left="720" w:hanging="260"/>
        <w:jc w:val="both"/>
      </w:pPr>
      <w:r>
        <w:t xml:space="preserve">5) </w:t>
      </w:r>
      <w:r>
        <w:t xml:space="preserve">Производство работ по размещению сети электросвязи.</w:t>
      </w:r>
    </w:p>
    <w:p>
      <w:pPr>
        <w:spacing w:before="0" w:after="60" w:line="276" w:lineRule="auto"/>
        <w:ind w:left="720" w:hanging="260"/>
        <w:jc w:val="both"/>
      </w:pPr>
      <w:r>
        <w:t xml:space="preserve">6) </w:t>
      </w:r>
      <w:r>
        <w:t xml:space="preserve">Приёмка размещённых элементов сети электросвязи с оформлением акта.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6.3 Условия производства работ на объекте инфраструктуры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работы в охранной зоне и на конструкциях объекта инфраструктуры производятся по наряду-допуску;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работы, требующие снятия напряжения, выполняются по согласованному графику технологических отключений;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изменение конструкции опор, установка дополнительных элементов и сверление несущих конструкций без письменного согласования с владельцем инфраструктуры не допускаются;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точки крепления, тип узлов подвеса и линейной арматуры подлежат согласованию с владельцем инфраструктуры на стадии проектной документации;</w:t>
      </w:r>
    </w:p>
    <w:p>
      <w:pPr>
        <w:spacing w:before="0" w:after="60" w:line="276" w:lineRule="auto"/>
        <w:ind w:left="720" w:hanging="260"/>
        <w:jc w:val="both"/>
      </w:pPr>
      <w:r>
        <w:t xml:space="preserve">– </w:t>
      </w:r>
      <w:r>
        <w:t xml:space="preserve">после завершения работ пользователь инфраструктуры обеспечивает восстановление нарушенного благоустройства и вывоз отходов.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7 Порядок формирования цены (тарифа) на предоставление доступа</w:t>
      </w:r>
    </w:p>
    <w:p>
      <w:pPr>
        <w:spacing w:before="0" w:after="140" w:line="276" w:lineRule="auto"/>
        <w:jc w:val="both"/>
      </w:pPr>
      <w:r>
        <w:rPr>
          <w:i/>
          <w:iCs/>
          <w:sz w:val="21"/>
          <w:szCs w:val="21"/>
        </w:rPr>
        <w:t xml:space="preserve">Раздел содержит информацию, предусмотренную подпунктом «г» пункта 13 Правил.</w:t>
      </w:r>
    </w:p>
    <w:p>
      <w:pPr>
        <w:spacing w:before="0" w:after="120" w:line="276" w:lineRule="auto"/>
        <w:jc w:val="both"/>
      </w:pPr>
      <w:r>
        <w:t xml:space="preserve">7.1 Цена (тариф) на предоставление доступа устанавливается владельцем инфраструктуры в соответствии с пунктами 38–41 Правил и с учётом методических рекомендаций Федеральной антимонопольной службы. Порядок формирования цены (тарифа) опубликован в порядке, предусмотренном разделом III Правил.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Адрес публикации порядка формирования цены (тарифа)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https://rosseti-yug.ru/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Документ об утверждении прейскуранта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приказ филиала от 15.01.2026 № 12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Стоимость работ по осмотру, измерению, обследованию (пункт 16 Правил)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48 600,00 руб. с НДС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Дата оплаты работ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06.05.2026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7.2 В цену (тариф) включаются экономически обоснованные расходы владельца инфраструктуры, предусмотренные пунктом 39 Правил.</w:t>
      </w:r>
    </w:p>
    <w:p>
      <w:pPr>
        <w:spacing w:before="0" w:after="120" w:line="276" w:lineRule="auto"/>
        <w:jc w:val="both"/>
      </w:pPr>
      <w:r>
        <w:t xml:space="preserve">7.3 Цены (тарифы) в сопоставимых условиях устанавливаются равными для всех пользователей инфраструктуры (пункт 38 Правил). Включение в цену расходов, учтённых в составе цен на иные услуги с использованием тех же объектов, не допускается.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8 Условия доступа сотрудников пользователя инфраструктуры</w:t>
      </w:r>
    </w:p>
    <w:p>
      <w:pPr>
        <w:spacing w:before="0" w:after="140" w:line="276" w:lineRule="auto"/>
        <w:jc w:val="both"/>
      </w:pPr>
      <w:r>
        <w:rPr>
          <w:i/>
          <w:iCs/>
          <w:sz w:val="21"/>
          <w:szCs w:val="21"/>
        </w:rPr>
        <w:t xml:space="preserve">Раздел содержит информацию, предусмотренную подпунктом «д» пункта 13 Правил.</w:t>
      </w:r>
    </w:p>
    <w:p>
      <w:pPr>
        <w:spacing w:before="0" w:after="120" w:line="276" w:lineRule="auto"/>
        <w:jc w:val="both"/>
      </w:pPr>
      <w:r>
        <w:t xml:space="preserve">8.1 Владелец инфраструктуры обеспечивает на безвозмездной основе беспрепятственный доступ уполномоченного персонала пользователя инфраструктуры к размещённой сети электросвязи и её отдельным элементам (подпункт «в» пункта 30 Правил).</w:t>
      </w:r>
    </w:p>
    <w:p>
      <w:pPr>
        <w:spacing w:before="0" w:after="120" w:line="276" w:lineRule="auto"/>
        <w:jc w:val="both"/>
      </w:pPr>
      <w:r>
        <w:t xml:space="preserve">8.2 Условия доступа: по заявке не позднее чем за 2 рабочих дня; при наличии удостоверений по электробезопасности (группа не ниже III); работы в охранной зоне — по наряду-допуску в сопровождении допускающего от владельца. Сопровождение обеспечивается силами и за счёт владельца инфраструктуры и не является основанием для отказа в доступе или его задержки (подпункт «в» пункта 30 Правил)</w:t>
      </w:r>
    </w:p>
    <w:p>
      <w:pPr>
        <w:spacing w:before="0" w:after="120" w:line="276" w:lineRule="auto"/>
        <w:jc w:val="both"/>
      </w:pPr>
      <w:r>
        <w:t xml:space="preserve">8.3 При возникновении аварийной ситуации на сети электросвязи доступ обеспечивается в круглосуточном режиме по заявке в диспетчерскую службу владельца инфраструктуры с последующим оформлением документов в рабочем порядке.</w:t>
      </w:r>
    </w:p>
    <w:p>
      <w:pPr>
        <w:spacing w:before="0" w:after="120" w:line="276" w:lineRule="auto"/>
        <w:jc w:val="both"/>
      </w:pPr>
      <w:r>
        <w:t xml:space="preserve">8.4 Сопровождение персонала пользователя инфраструктуры допускающим от владельца инфраструктуры обеспечивается силами и за счёт владельца инфраструктуры и не является основанием для отказа в доступе, его задержки либо взимания дополнительной платы (подпункт «в» пункта 30 Правил).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9 Заключение</w:t>
      </w:r>
    </w:p>
    <w:p>
      <w:pPr>
        <w:spacing w:before="0" w:after="120" w:line="276" w:lineRule="auto"/>
        <w:jc w:val="both"/>
      </w:pPr>
      <w:r>
        <w:t xml:space="preserve">9.1 Работы по осмотру, измерению и обследованию объекта инфраструктуры ВЛ 0,4-10 кВ Старощербиновская выполнены в объёме, необходимом и достаточном для предоставления информации, предусмотренной подпунктами «а»–«д» пункта 13 Правил.</w:t>
      </w:r>
    </w:p>
    <w:p>
      <w:pPr>
        <w:spacing w:before="0" w:after="120" w:line="276" w:lineRule="auto"/>
        <w:jc w:val="both"/>
      </w:pPr>
      <w:r>
        <w:t xml:space="preserve">9.2 Обследовано опор — 55 шт., в том числе в нормативном (работоспособном) состоянии — 52 шт., в ограниченно работоспособном — 2 шт., в аварийном — 1 шт. Дефекты выявлены на 3 опорах: категории A — 1, категории Б — 2, категории В — 0.</w:t>
      </w:r>
    </w:p>
    <w:p>
      <w:pPr>
        <w:spacing w:before="0" w:after="120" w:line="276" w:lineRule="auto"/>
        <w:jc w:val="both"/>
      </w:pPr>
      <w:r>
        <w:t xml:space="preserve">9.3 Итоговый вывод о наличии (отсутствии) технологической возможности предоставления доступа: </w:t>
      </w:r>
      <w:r>
        <w:t xml:space="preserve">Технологическая возможность предоставления доступа к ВЛ 0,4-10 кВ Старощербиновская имеется в ограниченном объёме: без дополнительных условий доступ может быть предоставлен по опорам в количестве 52 шт., после выполнения мероприятий раздела 6 — по 2 шт., по 1 шт. доступ предоставлен быть не может. В соответствии с пунктом 25 Правил пользователю инфраструктуры направляется уведомление о том, на каких условиях и в каком объёме может быть предоставлен доступ.</w:t>
      </w:r>
    </w:p>
    <w:p>
      <w:pPr>
        <w:spacing w:before="0" w:after="120" w:line="276" w:lineRule="auto"/>
        <w:jc w:val="both"/>
      </w:pPr>
      <w:r>
        <w:t xml:space="preserve">9.4 Перечень мероприятий, необходимых для предоставления доступа, приведён в приложении Е; всего мероприятий — 9, в том числе группы Е.1 (пользователь инфраструктуры) — 6, группы Е.2 (владелец инфраструктуры) — 3.</w:t>
      </w:r>
    </w:p>
    <w:p>
      <w:pPr>
        <w:spacing w:before="0" w:after="120" w:line="276" w:lineRule="auto"/>
        <w:jc w:val="both"/>
      </w:pPr>
      <w:r>
        <w:t xml:space="preserve">9.5 Настоящий отчёт является ответом владельца инфраструктуры на запрос пользователя инфраструктуры и не является офертой на заключение договора о предоставлении доступа. Оферта либо мотивированный отказ направляются в порядке пункта 23 Правил по результатам рассмотрения заявления, предусмотренного пунктом 20 Правил.</w:t>
      </w:r>
    </w:p>
    <w:p>
      <w:pPr>
        <w:spacing w:before="0" w:after="120" w:line="276" w:lineRule="auto"/>
        <w:jc w:val="both"/>
      </w:pPr>
      <w:r>
        <w:t xml:space="preserve">9.6 Отчёт составлен по результатам обследования объекта инфраструктуры в целях рассмотрения заявления о предоставлении доступа и </w:t>
      </w:r>
      <w:r>
        <w:rPr>
          <w:b/>
          <w:bCs/>
        </w:rPr>
        <w:t xml:space="preserve">не является</w:t>
      </w:r>
      <w:r>
        <w:t xml:space="preserve"> результатом инженерных изысканий в значении статьи 47 Градостроительного кодекса Российской Федерации, проектной документацией в значении статьи 48 Градостроительного кодекса Российской Федерации и Положения, утв. постановлением Правительства Российской Федерации от 16.02.2008 № 87, а также заключением об обследовании технического состояния строительных конструкций. Результаты отчёта являются исходными данными для разработки проектной документации и не могут быть использованы для производства строительно-монтажных работ. Фактические данные приведены по состоянию на дату проведения осмотра; выводы действительны применительно к оптическому кабелю с характеристиками, указанными в подразделе 3.7, и при неизменности схемы и состава размещённых на объекте элементов.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10 Перечень применённых нормативных документов</w:t>
      </w:r>
    </w:p>
    <w:p>
      <w:pPr>
        <w:spacing w:before="0" w:after="60" w:line="276" w:lineRule="auto"/>
        <w:ind w:left="720" w:hanging="260"/>
        <w:jc w:val="both"/>
      </w:pPr>
      <w:r>
        <w:t xml:space="preserve">1) </w:t>
      </w:r>
      <w:r>
        <w:t xml:space="preserve">Федеральный закон от 26.07.2006 № 135-ФЗ «О защите конкуренции», часть 3 статьи 10.</w:t>
      </w:r>
    </w:p>
    <w:p>
      <w:pPr>
        <w:spacing w:before="0" w:after="60" w:line="276" w:lineRule="auto"/>
        <w:ind w:left="720" w:hanging="260"/>
        <w:jc w:val="both"/>
      </w:pPr>
      <w:r>
        <w:t xml:space="preserve">2) </w:t>
      </w:r>
      <w:r>
        <w:t xml:space="preserve">Федеральный закон от 07.07.2003 № 126-ФЗ «О связи».</w:t>
      </w:r>
    </w:p>
    <w:p>
      <w:pPr>
        <w:spacing w:before="0" w:after="60" w:line="276" w:lineRule="auto"/>
        <w:ind w:left="720" w:hanging="260"/>
        <w:jc w:val="both"/>
      </w:pPr>
      <w:r>
        <w:t xml:space="preserve">3) </w:t>
      </w:r>
      <w:r>
        <w:t xml:space="preserve">Федеральный закон от 30.12.2009 № 384-ФЗ «Технический регламент о безопасности зданий и сооружений».</w:t>
      </w:r>
    </w:p>
    <w:p>
      <w:pPr>
        <w:spacing w:before="0" w:after="60" w:line="276" w:lineRule="auto"/>
        <w:ind w:left="720" w:hanging="260"/>
        <w:jc w:val="both"/>
      </w:pPr>
      <w:r>
        <w:t xml:space="preserve">4) </w:t>
      </w:r>
      <w:r>
        <w:t xml:space="preserve">Правила недискриминационного доступа к инфраструктуре для размещения сетей электросвязи, утв. постановлением Правительства Российской Федерации от 22.11.2022 № 2106 (в ред. от 12.06.2024 № 792).</w:t>
      </w:r>
    </w:p>
    <w:p>
      <w:pPr>
        <w:spacing w:before="0" w:after="60" w:line="276" w:lineRule="auto"/>
        <w:ind w:left="720" w:hanging="260"/>
        <w:jc w:val="both"/>
      </w:pPr>
      <w:r>
        <w:t xml:space="preserve">5) </w:t>
      </w:r>
      <w:r>
        <w:t xml:space="preserve">Правила установления охранных зон объектов электросетевого хозяйства, утв. постановлением Правительства Российской Федерации от 24.02.2009 № 160.</w:t>
      </w:r>
    </w:p>
    <w:p>
      <w:pPr>
        <w:spacing w:before="0" w:after="60" w:line="276" w:lineRule="auto"/>
        <w:ind w:left="720" w:hanging="260"/>
        <w:jc w:val="both"/>
      </w:pPr>
      <w:r>
        <w:t xml:space="preserve">6) </w:t>
      </w:r>
      <w:r>
        <w:t xml:space="preserve">Правила технической эксплуатации электрических станций и сетей Российской Федерации, утв. приказом Минэнерго России от 04.10.2022 № 1070 (в действующей редакции).</w:t>
      </w:r>
    </w:p>
    <w:p>
      <w:pPr>
        <w:spacing w:before="0" w:after="60" w:line="276" w:lineRule="auto"/>
        <w:ind w:left="720" w:hanging="260"/>
        <w:jc w:val="both"/>
      </w:pPr>
      <w:r>
        <w:t xml:space="preserve">7) </w:t>
      </w:r>
      <w:r>
        <w:t xml:space="preserve">Технические требования к размещению сетей электросвязи (их отдельных элементов) сторонних лиц на ВЛ, утв. распоряжением ПАО «Россети» от 18.05.2026 № 282р (в редакции распоряжения от 16.02.2026 № 65р).</w:t>
      </w:r>
    </w:p>
    <w:p>
      <w:pPr>
        <w:spacing w:before="0" w:after="60" w:line="276" w:lineRule="auto"/>
        <w:ind w:left="720" w:hanging="260"/>
        <w:jc w:val="both"/>
      </w:pPr>
      <w:r>
        <w:t xml:space="preserve">8) </w:t>
      </w:r>
      <w:r>
        <w:t xml:space="preserve">Правила по охране труда при эксплуатации электроустановок, утв. приказом Минтруда России от 15.12.2020 № 903н.</w:t>
      </w:r>
    </w:p>
    <w:p>
      <w:pPr>
        <w:spacing w:before="0" w:after="60" w:line="276" w:lineRule="auto"/>
        <w:ind w:left="720" w:hanging="260"/>
        <w:jc w:val="both"/>
      </w:pPr>
      <w:r>
        <w:t xml:space="preserve">9) </w:t>
      </w:r>
      <w:r>
        <w:t xml:space="preserve">Правила устройства электроустановок, седьмое издание, глава 2.5.</w:t>
      </w:r>
    </w:p>
    <w:p>
      <w:pPr>
        <w:spacing w:before="0" w:after="60" w:line="276" w:lineRule="auto"/>
        <w:ind w:left="720" w:hanging="260"/>
        <w:jc w:val="both"/>
      </w:pPr>
      <w:r>
        <w:t xml:space="preserve">10) </w:t>
      </w:r>
      <w:r>
        <w:t xml:space="preserve">ГОСТ 31937-2024 «Здания и сооружения. Правила обследования и мониторинга технического состояния».</w:t>
      </w:r>
    </w:p>
    <w:p>
      <w:pPr>
        <w:spacing w:before="0" w:after="60" w:line="276" w:lineRule="auto"/>
        <w:ind w:left="720" w:hanging="260"/>
        <w:jc w:val="both"/>
      </w:pPr>
      <w:r>
        <w:t xml:space="preserve">11) </w:t>
      </w:r>
      <w:r>
        <w:t xml:space="preserve">ГОСТ 27751-2014 «Надёжность строительных конструкций и оснований. Основные положения».</w:t>
      </w:r>
    </w:p>
    <w:p>
      <w:pPr>
        <w:spacing w:before="0" w:after="60" w:line="276" w:lineRule="auto"/>
        <w:ind w:left="720" w:hanging="260"/>
        <w:jc w:val="both"/>
      </w:pPr>
      <w:r>
        <w:t xml:space="preserve">12) </w:t>
      </w:r>
      <w:r>
        <w:t xml:space="preserve">ГОСТ 22690-2015 «Бетоны. Определение прочности механическими методами неразрушающего контроля».</w:t>
      </w:r>
    </w:p>
    <w:p>
      <w:pPr>
        <w:spacing w:before="0" w:after="60" w:line="276" w:lineRule="auto"/>
        <w:ind w:left="720" w:hanging="260"/>
        <w:jc w:val="both"/>
      </w:pPr>
      <w:r>
        <w:t xml:space="preserve">13) </w:t>
      </w:r>
      <w:r>
        <w:t xml:space="preserve">СП 20.13330.2016 «Нагрузки и воздействия».</w:t>
      </w:r>
    </w:p>
    <w:p>
      <w:pPr>
        <w:spacing w:before="0" w:after="60" w:line="276" w:lineRule="auto"/>
        <w:ind w:left="720" w:hanging="260"/>
        <w:jc w:val="both"/>
      </w:pPr>
      <w:r>
        <w:t xml:space="preserve">14) </w:t>
      </w:r>
      <w:r>
        <w:t xml:space="preserve">СП 14.13330.2018 «Строительство в сейсмических районах».</w:t>
      </w:r>
    </w:p>
    <w:p>
      <w:pPr>
        <w:spacing w:before="0" w:after="60" w:line="276" w:lineRule="auto"/>
        <w:ind w:left="720" w:hanging="260"/>
        <w:jc w:val="both"/>
      </w:pPr>
      <w:r>
        <w:t xml:space="preserve">15) </w:t>
      </w:r>
      <w:r>
        <w:t xml:space="preserve">СП 131.13330.2020 «Строительная климатология».</w:t>
      </w:r>
    </w:p>
    <w:p>
      <w:pPr>
        <w:spacing w:before="0" w:after="60" w:line="276" w:lineRule="auto"/>
        <w:ind w:left="720" w:hanging="260"/>
        <w:jc w:val="both"/>
      </w:pPr>
      <w:r>
        <w:t xml:space="preserve">16) </w:t>
      </w:r>
      <w:r>
        <w:t xml:space="preserve">Порядок проведения поверки средств измерений, утв. приказом Минпромторга России от 31.07.2020 № 2510.</w:t>
      </w:r>
    </w:p>
    <w:p>
      <w:pPr>
        <w:spacing w:before="0" w:after="60" w:line="276" w:lineRule="auto"/>
        <w:ind w:left="720" w:hanging="260"/>
        <w:jc w:val="both"/>
      </w:pPr>
      <w:r>
        <w:t xml:space="preserve">17) </w:t>
      </w:r>
      <w:r>
        <w:t xml:space="preserve">Правила проектирования, строительства и эксплуатации волоконно-оптических линий связи на воздушных линиях электропередачи напряжением 0,4–35 кВ (утв. Минэнерго России и Минсвязи России, 2002).</w:t>
      </w: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А — Схема размещения объекта инфраструктуры</w:t>
      </w:r>
    </w:p>
    <w:p>
      <w:pPr>
        <w:pBdr>
          <w:top w:val="dashed" w:sz="4" w:space="4" w:color="C9D3DD"/>
          <w:left w:val="dashed" w:sz="4" w:space="4" w:color="C9D3DD"/>
          <w:bottom w:val="dashed" w:sz="4" w:space="4" w:color="C9D3DD"/>
          <w:right w:val="dashed" w:sz="4" w:space="4" w:color="C9D3DD"/>
        </w:pBdr>
        <w:spacing w:before="60" w:after="160" w:line="276" w:lineRule="auto"/>
        <w:jc w:val="both"/>
      </w:pPr>
      <w:r>
        <w:rPr>
          <w:i/>
          <w:iCs/>
          <w:color w:val="5C6B7A"/>
          <w:sz w:val="21"/>
          <w:szCs w:val="21"/>
        </w:rPr>
        <w:t xml:space="preserve">Схема не загружена. Кнопка «Схема размещения → приложение А» на панели слева (изображения или документы ПДФ, можно несколько файлов).</w:t>
      </w:r>
    </w:p>
    <w:p>
      <w:pPr>
        <w:spacing w:after="0"/>
        <w:sectPr>
          <w:headerReference w:type="default" r:id="rIdH1"/>
          <w:headerReference w:type="first" r:id="rIdH2"/>
          <w:footerReference w:type="default" r:id="rIdF1"/>
          <w:footerReference w:type="first" r:id="rIdF2"/>
          <w:titlePg/>
          <w:pgSz w:w="11906" w:h="16838"/>
          <w:pgMar w:top="1360" w:right="850" w:bottom="1250" w:left="1701" w:header="600" w:footer="500" w:gutter="0"/>
          <w:cols w:space="708"/>
          <w:docGrid w:linePitch="360"/>
        </w:sectPr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Б — Перечень задействованных опор</w:t>
      </w:r>
    </w:p>
    <w:tbl>
      <w:tblPr>
        <w:tblW w:w="14118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68"/>
        <w:gridCol w:w="982"/>
        <w:gridCol w:w="491"/>
        <w:gridCol w:w="491"/>
        <w:gridCol w:w="614"/>
        <w:gridCol w:w="737"/>
        <w:gridCol w:w="859"/>
        <w:gridCol w:w="491"/>
        <w:gridCol w:w="614"/>
        <w:gridCol w:w="737"/>
        <w:gridCol w:w="614"/>
        <w:gridCol w:w="859"/>
        <w:gridCol w:w="1350"/>
        <w:gridCol w:w="368"/>
        <w:gridCol w:w="1105"/>
        <w:gridCol w:w="982"/>
        <w:gridCol w:w="982"/>
        <w:gridCol w:w="737"/>
        <w:gridCol w:w="737"/>
      </w:tblGrid>
      <w:tr>
        <w:trPr>
          <w:cantSplit/>
          <w:tblHeader/>
        </w:trPr>
        <w:tc>
          <w:tcPr>
            <w:tcW w:w="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98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49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49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Класс, кВ</w:t>
            </w:r>
          </w:p>
        </w:tc>
        <w:tc>
          <w:tcPr>
            <w:tcW w:w="61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Марка</w:t>
            </w:r>
          </w:p>
        </w:tc>
        <w:tc>
          <w:tcPr>
            <w:tcW w:w="73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Материал</w:t>
            </w:r>
          </w:p>
        </w:tc>
        <w:tc>
          <w:tcPr>
            <w:tcW w:w="85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Тип по назначению</w:t>
            </w:r>
          </w:p>
        </w:tc>
        <w:tc>
          <w:tcPr>
            <w:tcW w:w="49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Пролёт, м</w:t>
            </w:r>
          </w:p>
        </w:tc>
        <w:tc>
          <w:tcPr>
            <w:tcW w:w="61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Габарит. пролёт, м</w:t>
            </w:r>
          </w:p>
        </w:tc>
        <w:tc>
          <w:tcPr>
            <w:tcW w:w="73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Местность</w:t>
            </w:r>
          </w:p>
        </w:tc>
        <w:tc>
          <w:tcPr>
            <w:tcW w:w="61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Габарит норм., м</w:t>
            </w:r>
          </w:p>
        </w:tc>
        <w:tc>
          <w:tcPr>
            <w:tcW w:w="85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Ранее размещ. ОК</w:t>
            </w:r>
          </w:p>
        </w:tc>
        <w:tc>
          <w:tcPr>
            <w:tcW w:w="135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Дефект</w:t>
            </w:r>
          </w:p>
        </w:tc>
        <w:tc>
          <w:tcPr>
            <w:tcW w:w="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Кат.</w:t>
            </w:r>
          </w:p>
        </w:tc>
        <w:tc>
          <w:tcPr>
            <w:tcW w:w="110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Состояние (ГОСТ 31937-2024)</w:t>
            </w:r>
          </w:p>
        </w:tc>
        <w:tc>
          <w:tcPr>
            <w:tcW w:w="98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Технол. возможность</w:t>
            </w:r>
          </w:p>
        </w:tc>
        <w:tc>
          <w:tcPr>
            <w:tcW w:w="98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Мероприятие</w:t>
            </w:r>
          </w:p>
        </w:tc>
        <w:tc>
          <w:tcPr>
            <w:tcW w:w="73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Широта</w:t>
            </w:r>
          </w:p>
        </w:tc>
        <w:tc>
          <w:tcPr>
            <w:tcW w:w="73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Долгота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38,660500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46,630600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38,660600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Б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Ограниченно 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 при условии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Выправка опоры / усиление — эксплуатационное мероприятие владельца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46,630700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38,660700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46,630800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38,660800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46,630900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38,660900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46,631000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38,661000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Разрушение защитного слоя бетона с обнажением и коррозией арматуры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Аварийное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отсутствует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Восстановление несущей способности (замена стойки) — эксплуатационное мероприятие владельца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38,661500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46,631600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38,661600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46,631700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38,661700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46,631800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38,661800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46,631900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38,661900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46,632000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38,662000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38,662500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46,632600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38,662600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46,632700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38,662700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46,632800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38,662800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46,632900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38,662900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КА8-1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Концевая анкерная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46,633000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38,663000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Б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Ограниченно 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 при условии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Выправка опоры / усиление — эксплуатационное мероприятие владельца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38,663500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46,633600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38,663600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46,633700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38,663700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46,633800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38,663800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46,633900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38,663900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46,634000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38,664000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108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38,664500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46,634600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38,664600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46,634700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38,664700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46,634800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38,664800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49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46,634900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38,664900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46,635000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38,665000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51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46,635100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38,665100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А10-1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(концевая)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46,635200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38,665200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Ответвительная анкерная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46,635300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38,665300</w:t>
            </w:r>
          </w:p>
        </w:tc>
      </w:tr>
      <w:tr>
        <w:trPr>
          <w:cantSplit/>
        </w:trPr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54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П10-1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Промежуточная (ненасел.)</w:t>
            </w:r>
          </w:p>
        </w:tc>
        <w:tc>
          <w:tcPr>
            <w:tcW w:w="49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49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46,635400</w:t>
            </w:r>
          </w:p>
        </w:tc>
        <w:tc>
          <w:tcPr>
            <w:tcW w:w="73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38,665400</w:t>
            </w:r>
          </w:p>
        </w:tc>
      </w:tr>
      <w:tr>
        <w:trPr>
          <w:cantSplit/>
        </w:trPr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Железобетонная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Анкерная угловая (до 90°)</w:t>
            </w:r>
          </w:p>
        </w:tc>
        <w:tc>
          <w:tcPr>
            <w:tcW w:w="49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населённая</w:t>
            </w:r>
          </w:p>
        </w:tc>
        <w:tc>
          <w:tcPr>
            <w:tcW w:w="61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85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35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36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10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Работоспособное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есть</w:t>
            </w:r>
          </w:p>
        </w:tc>
        <w:tc>
          <w:tcPr>
            <w:tcW w:w="9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46,635500</w:t>
            </w:r>
          </w:p>
        </w:tc>
        <w:tc>
          <w:tcPr>
            <w:tcW w:w="737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38,665500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Нормируемый габарит проводов до земли принят по таблицам 2.5.20/2.5.22 ПУЭ-7 раздельно по классу напряжения и характеру местности каждой опоры; фактические габариты — по результатам измерений (приложение Г.1). Габаритный пролёт приведён по типовому проекту опоры: превышение фактическим пролётом габаритного отражено в приложении Е.1.</w:t>
      </w:r>
    </w:p>
    <w:p>
      <w:pPr>
        <w:spacing w:after="0"/>
        <w:sectPr>
          <w:headerReference w:type="default" r:id="rIdH3"/>
          <w:headerReference w:type="first" r:id="rIdH2"/>
          <w:footerReference w:type="default" r:id="rIdF1"/>
          <w:footerReference w:type="first" r:id="rIdF2"/>
          <w:pgSz w:w="16838" w:h="11906" w:orient="landscape"/>
          <w:pgMar w:top="850" w:right="1360" w:bottom="850" w:left="1360" w:header="450" w:footer="400" w:gutter="0"/>
          <w:cols w:space="708"/>
          <w:docGrid w:linePitch="360"/>
        </w:sectPr>
      </w:pP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В — Ведомость дефектов и фотоматериалы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74"/>
        <w:gridCol w:w="1123"/>
        <w:gridCol w:w="655"/>
        <w:gridCol w:w="655"/>
        <w:gridCol w:w="2619"/>
        <w:gridCol w:w="655"/>
        <w:gridCol w:w="1871"/>
        <w:gridCol w:w="1403"/>
      </w:tblGrid>
      <w:tr>
        <w:trPr>
          <w:cantSplit/>
          <w:tblHeader/>
        </w:trPr>
        <w:tc>
          <w:tcPr>
            <w:tcW w:w="37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112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Марка</w:t>
            </w:r>
          </w:p>
        </w:tc>
        <w:tc>
          <w:tcPr>
            <w:tcW w:w="261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Описание дефекта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Категория дефекта</w:t>
            </w:r>
          </w:p>
        </w:tc>
        <w:tc>
          <w:tcPr>
            <w:tcW w:w="18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Состояние конструкции (ГОСТ 31937-2024)</w:t>
            </w:r>
          </w:p>
        </w:tc>
        <w:tc>
          <w:tcPr>
            <w:tcW w:w="140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ОА8-1</w:t>
            </w:r>
          </w:p>
        </w:tc>
        <w:tc>
          <w:tcPr>
            <w:tcW w:w="261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Б</w:t>
            </w:r>
          </w:p>
        </w:tc>
        <w:tc>
          <w:tcPr>
            <w:tcW w:w="18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Ограниченно работоспособное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Размещение после выполнения мероприятий</w:t>
            </w:r>
          </w:p>
        </w:tc>
      </w:tr>
      <w:tr>
        <w:trPr>
          <w:cantSplit/>
        </w:trPr>
        <w:tc>
          <w:tcPr>
            <w:tcW w:w="3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6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6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УА8-1</w:t>
            </w:r>
          </w:p>
        </w:tc>
        <w:tc>
          <w:tcPr>
            <w:tcW w:w="261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Разрушение защитного слоя бетона с обнажением и коррозией арматуры</w:t>
            </w:r>
          </w:p>
        </w:tc>
        <w:tc>
          <w:tcPr>
            <w:tcW w:w="6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A</w:t>
            </w:r>
          </w:p>
        </w:tc>
        <w:tc>
          <w:tcPr>
            <w:tcW w:w="18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Аварийное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Размещение до восстановления несущей способности не допускается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УА10-1</w:t>
            </w:r>
          </w:p>
        </w:tc>
        <w:tc>
          <w:tcPr>
            <w:tcW w:w="261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Б</w:t>
            </w:r>
          </w:p>
        </w:tc>
        <w:tc>
          <w:tcPr>
            <w:tcW w:w="18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Ограниченно работоспособное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Размещение после выполнения мероприятий</w:t>
            </w:r>
          </w:p>
        </w:tc>
      </w:tr>
    </w:tbl>
    <w:p>
      <w:pPr>
        <w:spacing w:after="120" w:line="240" w:lineRule="auto"/>
      </w:pPr>
    </w:p>
    <w:p>
      <w:pPr>
        <w:pBdr>
          <w:top w:val="dashed" w:sz="4" w:space="4" w:color="C9D3DD"/>
          <w:left w:val="dashed" w:sz="4" w:space="4" w:color="C9D3DD"/>
          <w:bottom w:val="dashed" w:sz="4" w:space="4" w:color="C9D3DD"/>
          <w:right w:val="dashed" w:sz="4" w:space="4" w:color="C9D3DD"/>
        </w:pBdr>
        <w:spacing w:before="60" w:after="160" w:line="276" w:lineRule="auto"/>
        <w:jc w:val="both"/>
      </w:pPr>
      <w:r>
        <w:rPr>
          <w:i/>
          <w:iCs/>
          <w:color w:val="5C6B7A"/>
          <w:sz w:val="21"/>
          <w:szCs w:val="21"/>
        </w:rPr>
        <w:t xml:space="preserve">Фотоматериалы не загружены. Кнопка «Фотоматериалы → приложение В» на панели слева. Подписи под рисунками редактируются прямо в документе.</w:t>
      </w:r>
    </w:p>
    <w:p>
      <w:pPr>
        <w:spacing w:after="0"/>
        <w:sectPr>
          <w:headerReference w:type="default" r:id="rIdH1"/>
          <w:headerReference w:type="first" r:id="rIdH2"/>
          <w:footerReference w:type="default" r:id="rIdF1"/>
          <w:footerReference w:type="first" r:id="rIdF2"/>
          <w:titlePg/>
          <w:pgSz w:w="11906" w:h="16838"/>
          <w:pgMar w:top="1360" w:right="850" w:bottom="1250" w:left="1701" w:header="600" w:footer="500" w:gutter="0"/>
          <w:cols w:space="708"/>
          <w:docGrid w:linePitch="360"/>
        </w:sectPr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Г.1 — Протоколы измерений фактического состояния</w:t>
      </w:r>
    </w:p>
    <w:tbl>
      <w:tblPr>
        <w:tblW w:w="14118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565"/>
        <w:gridCol w:w="988"/>
        <w:gridCol w:w="1694"/>
        <w:gridCol w:w="2682"/>
        <w:gridCol w:w="1271"/>
        <w:gridCol w:w="988"/>
        <w:gridCol w:w="706"/>
        <w:gridCol w:w="2824"/>
        <w:gridCol w:w="1129"/>
        <w:gridCol w:w="1271"/>
      </w:tblGrid>
      <w:tr>
        <w:trPr>
          <w:cantSplit/>
          <w:tblHeader/>
        </w:trPr>
        <w:tc>
          <w:tcPr>
            <w:tcW w:w="5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9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169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268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Вид измерения</w:t>
            </w:r>
          </w:p>
        </w:tc>
        <w:tc>
          <w:tcPr>
            <w:tcW w:w="12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Место (отметка)</w:t>
            </w:r>
          </w:p>
        </w:tc>
        <w:tc>
          <w:tcPr>
            <w:tcW w:w="9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Значение</w:t>
            </w:r>
          </w:p>
        </w:tc>
        <w:tc>
          <w:tcPr>
            <w:tcW w:w="70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Ед. изм.</w:t>
            </w:r>
          </w:p>
        </w:tc>
        <w:tc>
          <w:tcPr>
            <w:tcW w:w="282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Нормативное требование</w:t>
            </w:r>
          </w:p>
        </w:tc>
        <w:tc>
          <w:tcPr>
            <w:tcW w:w="112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Вывод</w:t>
            </w:r>
          </w:p>
        </w:tc>
        <w:tc>
          <w:tcPr>
            <w:tcW w:w="12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Средство измерения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7,1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1/151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7,75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1/67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Прочность бетона на сжатие (ударный импульс)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1,2 м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МПа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ниже проектного класса бетона B30 (ГОСТ 22690-2015)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ИПС-МГ4.03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1/142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1/140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7,49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1/134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1/69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Прочность бетона на сжатие (ударный импульс)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1,2 м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МПа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ниже проектного класса бетона B30 (ГОСТ 22690-2015)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ИПС-МГ4.03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1/128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1/127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7,23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1/125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1/122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7,88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1/117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1/114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1/113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7,62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0,4 кВ (ПУЭ-7, табл. 2.5.20/2.5.22)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27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1/109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1/108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29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1/107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1/158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7,36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7 м для 10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1/151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1/67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Прочность бетона на сжатие (ударный импульс)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1,2 м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МПа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ниже проектного класса бетона B30 (ГОСТ 22690-2015)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ИПС-МГ4.03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7,1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7 м для 10 кВ (ПУЭ-7, табл. 2.5.20/2.5.22)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1/144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1/140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7,75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6 м для 10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1/134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1/130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1/128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1/127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7,49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7 м для 10 кВ (ПУЭ-7, табл. 2.5.20/2.5.22)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17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1/125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18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1/123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1/120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Сопротивление заземляющего устройства опоры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заземлитель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Ом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10 Ом при ρ = 100 Ом·м (ПУЭ-7 гл. 2.5, ПТЭ)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ИС-20/1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Габарит нижнего провода до земли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7,23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7 м для 10 кВ (ПУЭ-7, табл. 2.5.20/2.5.22)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1/117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1/114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вершина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1/113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более 1/100 высоты опоры (ГОСТ 31937-2024, СП 20.13330.2016)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соответствует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Тахеометр 3Та5Р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Каждая строка протокола относится к одной конкретной опоре. Значения, полученные на одной опоре, на другие опоры не распространяются.</w:t>
      </w: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Г.2 — Оценка достаточности свободных интервалов под размещение</w:t>
      </w:r>
    </w:p>
    <w:p>
      <w:pPr>
        <w:spacing w:before="0" w:after="120" w:line="276" w:lineRule="auto"/>
        <w:jc w:val="both"/>
      </w:pPr>
      <w:r>
        <w:t xml:space="preserve">Размещаемый оптический кабель на дату обследования не смонтирован. В настоящем приложении приведены фактически свободные интервалы, установленные на опорах, и их сопоставление с нормируемыми значениями. Вывод даётся в форме «достаточно / недостаточно» и не является измерением параметров кабеля.</w:t>
      </w:r>
    </w:p>
    <w:tbl>
      <w:tblPr>
        <w:tblW w:w="14118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565"/>
        <w:gridCol w:w="988"/>
        <w:gridCol w:w="1694"/>
        <w:gridCol w:w="2682"/>
        <w:gridCol w:w="988"/>
        <w:gridCol w:w="1271"/>
        <w:gridCol w:w="706"/>
        <w:gridCol w:w="2824"/>
        <w:gridCol w:w="1129"/>
        <w:gridCol w:w="1271"/>
      </w:tblGrid>
      <w:tr>
        <w:trPr>
          <w:cantSplit/>
          <w:tblHeader/>
        </w:trPr>
        <w:tc>
          <w:tcPr>
            <w:tcW w:w="5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9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169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268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Проверяемый интервал</w:t>
            </w:r>
          </w:p>
        </w:tc>
        <w:tc>
          <w:tcPr>
            <w:tcW w:w="9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Место</w:t>
            </w:r>
          </w:p>
        </w:tc>
        <w:tc>
          <w:tcPr>
            <w:tcW w:w="12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Фактически свободно</w:t>
            </w:r>
          </w:p>
        </w:tc>
        <w:tc>
          <w:tcPr>
            <w:tcW w:w="70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Ед. изм.</w:t>
            </w:r>
          </w:p>
        </w:tc>
        <w:tc>
          <w:tcPr>
            <w:tcW w:w="282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Нормируемое значение</w:t>
            </w:r>
          </w:p>
        </w:tc>
        <w:tc>
          <w:tcPr>
            <w:tcW w:w="112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Вывод</w:t>
            </w:r>
          </w:p>
        </w:tc>
        <w:tc>
          <w:tcPr>
            <w:tcW w:w="1271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Средство измерения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узел крепления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0,5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0,4 м для 0,4 кВ (ТТ № 282р п. 3.2.2)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5,4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узел крепления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0,4 м для 0,4 кВ (ТТ № 282р п. 3.2.2)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5,6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узел крепления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0,7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0,4 м для 0,4 кВ (ТТ № 282р п. 3.2.2)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28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5,8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узел крепления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0,5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0,6 м для 10 кВ (ТТ № 282р п. 3.2.2)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5,2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узел крепления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0,9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0,6 м для 10 кВ (ТТ № 282р п. 3.2.2)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5,4</w:t>
            </w:r>
          </w:p>
        </w:tc>
        <w:tc>
          <w:tcPr>
            <w:tcW w:w="70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12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25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268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Свободная высота под размещение ОК над землёй</w:t>
            </w:r>
          </w:p>
        </w:tc>
        <w:tc>
          <w:tcPr>
            <w:tcW w:w="9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середина пролёта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5,6</w:t>
            </w:r>
          </w:p>
        </w:tc>
        <w:tc>
          <w:tcPr>
            <w:tcW w:w="7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м</w:t>
            </w:r>
          </w:p>
        </w:tc>
        <w:tc>
          <w:tcPr>
            <w:tcW w:w="282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не менее 5,0 м (ПУЭ-7 п. 2.4.89; ТТ № 282р п. 3.2.4)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достаточно</w:t>
            </w:r>
          </w:p>
        </w:tc>
        <w:tc>
          <w:tcPr>
            <w:tcW w:w="1271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Leica DISTO D2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Окончательное подтверждение габаритов и расстояний с учётом стрел провеса, высот и точек подвеса выполняется в проектной документации — раздел 3 ТТ № 282р, глава 2.5 ПУЭ-7.</w:t>
      </w:r>
    </w:p>
    <w:p>
      <w:pPr>
        <w:spacing w:after="0"/>
        <w:sectPr>
          <w:headerReference w:type="default" r:id="rIdH3"/>
          <w:headerReference w:type="first" r:id="rIdH2"/>
          <w:footerReference w:type="default" r:id="rIdF1"/>
          <w:footerReference w:type="first" r:id="rIdF2"/>
          <w:pgSz w:w="16838" w:h="11906" w:orient="landscape"/>
          <w:pgMar w:top="850" w:right="1360" w:bottom="850" w:left="1360" w:header="450" w:footer="400" w:gutter="0"/>
          <w:cols w:space="708"/>
          <w:docGrid w:linePitch="360"/>
        </w:sectPr>
      </w:pP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Д — Сведения о применённых средствах измерений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74"/>
        <w:gridCol w:w="2339"/>
        <w:gridCol w:w="1216"/>
        <w:gridCol w:w="936"/>
        <w:gridCol w:w="2245"/>
        <w:gridCol w:w="1123"/>
        <w:gridCol w:w="1123"/>
      </w:tblGrid>
      <w:tr>
        <w:trPr>
          <w:cantSplit/>
          <w:tblHeader/>
        </w:trPr>
        <w:tc>
          <w:tcPr>
            <w:tcW w:w="37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</w:t>
            </w:r>
          </w:p>
        </w:tc>
        <w:tc>
          <w:tcPr>
            <w:tcW w:w="233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Наименование средства измерения</w:t>
            </w:r>
          </w:p>
        </w:tc>
        <w:tc>
          <w:tcPr>
            <w:tcW w:w="121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Тип / марка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Заводской №</w:t>
            </w:r>
          </w:p>
        </w:tc>
        <w:tc>
          <w:tcPr>
            <w:tcW w:w="224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№ записи о поверке во ФГИС «Аршин»</w:t>
            </w:r>
          </w:p>
        </w:tc>
        <w:tc>
          <w:tcPr>
            <w:tcW w:w="112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Дата поверки</w:t>
            </w:r>
          </w:p>
        </w:tc>
        <w:tc>
          <w:tcPr>
            <w:tcW w:w="112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Действительна до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33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Тахеометр электронный</w:t>
            </w:r>
          </w:p>
        </w:tc>
        <w:tc>
          <w:tcPr>
            <w:tcW w:w="121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Тахеометр 3Та5Р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40213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С-ВЮ/29-06-2026/117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30.06.2026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30.06.2027</w:t>
            </w:r>
          </w:p>
        </w:tc>
      </w:tr>
      <w:tr>
        <w:trPr>
          <w:cantSplit/>
        </w:trPr>
        <w:tc>
          <w:tcPr>
            <w:tcW w:w="3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233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Измеритель прочности бетона</w:t>
            </w:r>
          </w:p>
        </w:tc>
        <w:tc>
          <w:tcPr>
            <w:tcW w:w="121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ИПС-МГ4.03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60741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С-АС/21-06-2026/88</w:t>
            </w:r>
          </w:p>
        </w:tc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22.06.2026</w:t>
            </w:r>
          </w:p>
        </w:tc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21.06.2027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233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Дальномер лазерный</w:t>
            </w:r>
          </w:p>
        </w:tc>
        <w:tc>
          <w:tcPr>
            <w:tcW w:w="121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Leica DISTO D2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11284</w:t>
            </w:r>
          </w:p>
        </w:tc>
        <w:tc>
          <w:tcPr>
            <w:tcW w:w="224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С-ДЛ/03-02-2026/55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03.02.2026</w:t>
            </w:r>
          </w:p>
        </w:tc>
        <w:tc>
          <w:tcPr>
            <w:tcW w:w="112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02.02.2027</w:t>
            </w:r>
          </w:p>
        </w:tc>
      </w:tr>
      <w:tr>
        <w:trPr>
          <w:cantSplit/>
        </w:trPr>
        <w:tc>
          <w:tcPr>
            <w:tcW w:w="3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233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Измеритель сопротивления заземления</w:t>
            </w:r>
          </w:p>
        </w:tc>
        <w:tc>
          <w:tcPr>
            <w:tcW w:w="121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ИС-20/1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7742</w:t>
            </w:r>
          </w:p>
        </w:tc>
        <w:tc>
          <w:tcPr>
            <w:tcW w:w="224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С-ЗМ/20-01-2026/31</w:t>
            </w:r>
          </w:p>
        </w:tc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20.01.2026</w:t>
            </w:r>
          </w:p>
        </w:tc>
        <w:tc>
          <w:tcPr>
            <w:tcW w:w="112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19.01.2027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Результаты поверки средств измерений подтверждаются сведениями, переданными во ФГИС «Аршин», в соответствии с Порядком проведения поверки средств измерений, утв. приказом Минпромторга России от 31.07.2020 № 2510.</w:t>
      </w:r>
    </w:p>
    <w:p>
      <w:pPr>
        <w:spacing w:after="0"/>
        <w:sectPr>
          <w:headerReference w:type="default" r:id="rIdH1"/>
          <w:headerReference w:type="first" r:id="rIdH2"/>
          <w:footerReference w:type="default" r:id="rIdF1"/>
          <w:footerReference w:type="first" r:id="rIdF2"/>
          <w:titlePg/>
          <w:pgSz w:w="11906" w:h="16838"/>
          <w:pgMar w:top="1360" w:right="850" w:bottom="1250" w:left="1701" w:header="600" w:footer="500" w:gutter="0"/>
          <w:cols w:space="708"/>
          <w:docGrid w:linePitch="360"/>
        </w:sectPr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Е.1 — Мероприятия, обусловленные размещением сети электросвязи</w:t>
      </w:r>
    </w:p>
    <w:p>
      <w:pPr>
        <w:spacing w:before="0" w:after="120" w:line="276" w:lineRule="auto"/>
        <w:jc w:val="both"/>
      </w:pPr>
      <w:r>
        <w:t xml:space="preserve">Исполнитель — пользователь инфраструктуры. В группу включены проектные решения и поверочные расчёты, необходимость которых вызвана намерением разместить сеть электросвязи на объекте.</w:t>
      </w:r>
    </w:p>
    <w:tbl>
      <w:tblPr>
        <w:tblW w:w="14118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565"/>
        <w:gridCol w:w="1694"/>
        <w:gridCol w:w="1129"/>
        <w:gridCol w:w="3106"/>
        <w:gridCol w:w="3388"/>
        <w:gridCol w:w="1412"/>
        <w:gridCol w:w="1412"/>
        <w:gridCol w:w="1412"/>
      </w:tblGrid>
      <w:tr>
        <w:trPr>
          <w:cantSplit/>
          <w:tblHeader/>
        </w:trPr>
        <w:tc>
          <w:tcPr>
            <w:tcW w:w="5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169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112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310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Мероприятие</w:t>
            </w:r>
          </w:p>
        </w:tc>
        <w:tc>
          <w:tcPr>
            <w:tcW w:w="33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Основание (дефект, несоответствие)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Исполнитель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Срок выполнения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Ориентировочная стоимость, руб. с НДС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310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Проектное решение по размещению ОК с обеспечением нормируемого расстояния</w:t>
            </w:r>
          </w:p>
        </w:tc>
        <w:tc>
          <w:tcPr>
            <w:tcW w:w="338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Свободный интервал от предполагаемой точки подвеса ОК до провода: 0,5 м при норме — не менее 0,6 м для 10 кВ (ТТ № 282р п. 3.2.2)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21</w:t>
            </w:r>
          </w:p>
        </w:tc>
        <w:tc>
          <w:tcPr>
            <w:tcW w:w="31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Поверочный расчёт пролёта, превышающего габаритный (в составе проектной документации)</w:t>
            </w:r>
          </w:p>
        </w:tc>
        <w:tc>
          <w:tcPr>
            <w:tcW w:w="33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Фактический пролёт 41 м при габаритном 40 м для марки УА8-1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22</w:t>
            </w:r>
          </w:p>
        </w:tc>
        <w:tc>
          <w:tcPr>
            <w:tcW w:w="310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Поверочный расчёт пролёта, превышающего габаритный (в составе проектной документации)</w:t>
            </w:r>
          </w:p>
        </w:tc>
        <w:tc>
          <w:tcPr>
            <w:tcW w:w="338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Фактический пролёт 42 м при габаритном 40 м для марки КА8-1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23</w:t>
            </w:r>
          </w:p>
        </w:tc>
        <w:tc>
          <w:tcPr>
            <w:tcW w:w="31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Поверочный расчёт пролёта, превышающего габаритный (в составе проектной документации)</w:t>
            </w:r>
          </w:p>
        </w:tc>
        <w:tc>
          <w:tcPr>
            <w:tcW w:w="33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Фактический пролёт 43 м при габаритном 40 м для марки ОА8-1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310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Поверочный расчёт пролёта, превышающего габаритный (в составе проектной документации)</w:t>
            </w:r>
          </w:p>
        </w:tc>
        <w:tc>
          <w:tcPr>
            <w:tcW w:w="338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Фактический пролёт 44 м при габаритном 40 м для марки П8-1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</w:t>
            </w:r>
          </w:p>
        </w:tc>
        <w:tc>
          <w:tcPr>
            <w:tcW w:w="31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Поверочный расчёт пролёта, превышающего габаритный (в составе проектной документации)</w:t>
            </w:r>
          </w:p>
        </w:tc>
        <w:tc>
          <w:tcPr>
            <w:tcW w:w="33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Фактический пролёт 108 м при габаритном 60 м для марки ОА10-1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Пользователь инфраструктуры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240" w:lineRule="auto"/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Е.2 — Устранение дефектов эксплуатации</w:t>
      </w:r>
    </w:p>
    <w:p>
      <w:pPr>
        <w:spacing w:before="0" w:after="120" w:line="276" w:lineRule="auto"/>
        <w:jc w:val="both"/>
      </w:pPr>
      <w:r>
        <w:t xml:space="preserve">Исполнитель — владелец инфраструктуры. В группу включены дефекты несущих конструкций и несоответствия фактического состояния, возникшие до подачи заявления о предоставлении доступа и размещением сети электросвязи не вызванные. Содержание объекта относится к обязанностям владельца (статья 210 Гражданского кодекса Российской Федерации, Правила технической эксплуатации); отнесение этих мероприятий на пользователя инфраструктуры в качестве условия доступа не производится (часть 1 статьи 10 Федерального закона от 26.07.2006 № 135-ФЗ).</w:t>
      </w:r>
    </w:p>
    <w:tbl>
      <w:tblPr>
        <w:tblW w:w="14118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565"/>
        <w:gridCol w:w="1694"/>
        <w:gridCol w:w="1129"/>
        <w:gridCol w:w="3106"/>
        <w:gridCol w:w="3388"/>
        <w:gridCol w:w="1412"/>
        <w:gridCol w:w="1412"/>
        <w:gridCol w:w="1412"/>
      </w:tblGrid>
      <w:tr>
        <w:trPr>
          <w:cantSplit/>
          <w:tblHeader/>
        </w:trPr>
        <w:tc>
          <w:tcPr>
            <w:tcW w:w="5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169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Линия (фидер)</w:t>
            </w:r>
          </w:p>
        </w:tc>
        <w:tc>
          <w:tcPr>
            <w:tcW w:w="112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 опоры</w:t>
            </w:r>
          </w:p>
        </w:tc>
        <w:tc>
          <w:tcPr>
            <w:tcW w:w="310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Мероприятие</w:t>
            </w:r>
          </w:p>
        </w:tc>
        <w:tc>
          <w:tcPr>
            <w:tcW w:w="338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Основание (дефект, несоответствие)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Исполнитель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Срок выполнения</w:t>
            </w:r>
          </w:p>
        </w:tc>
        <w:tc>
          <w:tcPr>
            <w:tcW w:w="141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Ориентировочная стоимость, руб. с НДС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w="310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Выправка опоры / усиление — эксплуатационное мероприятие владельца</w:t>
            </w:r>
          </w:p>
        </w:tc>
        <w:tc>
          <w:tcPr>
            <w:tcW w:w="338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Владелец инфраструктуры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169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0,4 №1 ТП Сщ-7</w:t>
            </w:r>
          </w:p>
        </w:tc>
        <w:tc>
          <w:tcPr>
            <w:tcW w:w="11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13</w:t>
            </w:r>
          </w:p>
        </w:tc>
        <w:tc>
          <w:tcPr>
            <w:tcW w:w="310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Восстановление несущей способности (замена стойки) — эксплуатационное мероприятие владельца</w:t>
            </w:r>
          </w:p>
        </w:tc>
        <w:tc>
          <w:tcPr>
            <w:tcW w:w="338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Разрушение защитного слоя бетона с обнажением и коррозией арматуры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Владелец инфраструктуры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w="56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169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 10 - Сщ-2</w:t>
            </w:r>
          </w:p>
        </w:tc>
        <w:tc>
          <w:tcPr>
            <w:tcW w:w="1129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w="3106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Выправка опоры / усиление — эксплуатационное мероприятие владельца</w:t>
            </w:r>
          </w:p>
        </w:tc>
        <w:tc>
          <w:tcPr>
            <w:tcW w:w="338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Отклонение стойки от вертикали сверх допустимого; трещины с раскрытием сверх нормы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Владелец инфраструктуры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w="141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line="240" w:lineRule="auto"/>
      </w:pPr>
    </w:p>
    <w:p>
      <w:pPr>
        <w:spacing w:after="0"/>
        <w:sectPr>
          <w:headerReference w:type="default" r:id="rIdH3"/>
          <w:headerReference w:type="first" r:id="rIdH2"/>
          <w:footerReference w:type="default" r:id="rIdF1"/>
          <w:footerReference w:type="first" r:id="rIdF2"/>
          <w:pgSz w:w="16838" w:h="11906" w:orient="landscape"/>
          <w:pgMar w:top="850" w:right="1360" w:bottom="850" w:left="1360" w:header="450" w:footer="400" w:gutter="0"/>
          <w:cols w:space="708"/>
          <w:docGrid w:linePitch="360"/>
        </w:sectPr>
      </w:pP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Приложение Ж — Оценка несущей способности опор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Ж.1 Методика</w:t>
      </w:r>
    </w:p>
    <w:p>
      <w:pPr>
        <w:spacing w:before="0" w:after="120" w:line="276" w:lineRule="auto"/>
        <w:jc w:val="both"/>
      </w:pPr>
      <w:r>
        <w:t xml:space="preserve">Выполнена сопоставительная оценка по методу предельных состояний (первая группа) применительно к изгибающему моменту в заделке стойки. Погонные нагрузки на провода и кабели определены по пунктам 2.5.52 (ветровая), 2.5.53 (гололёдная) главы 2.5 ПУЭ-7; расчётные значения получены умножением на коэффициенты надёжности по пунктам 2.5.55, 2.5.62, 2.5.69.</w:t>
      </w:r>
    </w:p>
    <w:p>
      <w:pPr>
        <w:spacing w:before="0" w:after="120" w:line="276" w:lineRule="auto"/>
        <w:jc w:val="both"/>
      </w:pPr>
      <w:r>
        <w:rPr>
          <w:b/>
          <w:bCs/>
        </w:rPr>
        <w:t xml:space="preserve">Допустимый момент принят по стойке опоры</w:t>
      </w:r>
      <w:r>
        <w:t xml:space="preserve">, а не по её назначению: одна и та же стойка не может иметь разные допустимые моменты. Подкосы, вторая стойка и оттяжки анкерных опор в запас несущей способности не учитываются.</w:t>
      </w:r>
    </w:p>
    <w:p>
      <w:pPr>
        <w:spacing w:before="0" w:after="120" w:line="276" w:lineRule="auto"/>
        <w:jc w:val="both"/>
      </w:pPr>
      <w:r>
        <w:rPr>
          <w:b/>
          <w:bCs/>
        </w:rPr>
        <w:t xml:space="preserve">Расчётным принят наибольший пролёт</w:t>
      </w:r>
      <w:r>
        <w:t xml:space="preserve"> в пределах марки опоры, а не средний: усреднение скрывает именно те опоры, которые определяют результат. Для опор в ограниченно работоспособном состоянии дополнительно выполнен вариант расчёта с понижающим коэффициентом 0,8 к допустимому моменту — расчёт дефектной конструкции по паспортному значению недостоверен.</w:t>
      </w:r>
    </w:p>
    <w:p>
      <w:pPr>
        <w:spacing w:before="0" w:after="120" w:line="276" w:lineRule="auto"/>
        <w:jc w:val="both"/>
      </w:pPr>
      <w:r>
        <w:rPr>
          <w:b/>
          <w:bCs/>
        </w:rPr>
        <w:t xml:space="preserve">Количественный запас выдаётся только для промежуточных опор.</w:t>
      </w:r>
      <w:r>
        <w:t xml:space="preserve"> Анкерные, угловые, концевые и ответвительные опоры воспринимают неуравновешенное тяжение и работают совместно с подкосами, оттяжками и второй стойкой; упрощённая схема их не описывает, поэтому запас по ним не приводится, а поверочный расчёт по расчётной схеме относится к проектной документации. Справочно для таких опор приведён момент от тяжения: доля тяжения принята 1,0 для концевых и ответвительных, 2·sin(α/2) для угловых по фактическому углу поворота (при неизвестном угле — 1,0), 0,3 для анкерных промежуточных.</w:t>
      </w:r>
    </w:p>
    <w:p>
      <w:pPr>
        <w:spacing w:before="0" w:after="120" w:line="276" w:lineRule="auto"/>
        <w:jc w:val="both"/>
      </w:pPr>
      <w:r>
        <w:rPr>
          <w:b/>
          <w:bCs/>
        </w:rPr>
        <w:t xml:space="preserve">Нагрузки учтены раздельно по классам напряжения.</w:t>
      </w:r>
      <w:r>
        <w:t xml:space="preserve"> На опору каждого класса отнесены только те провода, тросы и кабели, которые к этому классу относятся; элементы, помеченные как «все классы», учтены на всех опорах.</w:t>
      </w:r>
    </w:p>
    <w:p>
      <w:pPr>
        <w:spacing w:before="0" w:after="120" w:line="276" w:lineRule="auto"/>
        <w:jc w:val="both"/>
      </w:pPr>
      <w:r>
        <w:t xml:space="preserve">Принятые упрощения (в запас несущей способности): коэффициенты условий работы приняты равными единице (высота подвеса менее 25 м); коэффициент, учитывающий тип местности, принят для высоты до 15 м по типу местности «А»; ветер направлен под углом 90° к оси ВЛ; момент определён как произведение горизонтальной нагрузки на высоту подвеса. Оценка не заменяет поверочный расчёт по расчётной схеме опоры и является предварительной; поверочный расчёт выполняется в проектной документации (пункт 6 ТТ № 282р).</w:t>
      </w: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Ж.2 Расчётные климатические параметры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368"/>
        <w:gridCol w:w="5987"/>
      </w:tblGrid>
      <w:tr>
        <w:trPr>
          <w:cantSplit/>
          <w:tblHeader/>
        </w:trPr>
        <w:tc>
          <w:tcPr>
            <w:tcW w:w="336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Сведения</w:t>
            </w:r>
          </w:p>
        </w:tc>
        <w:tc>
          <w:tcPr>
            <w:tcW w:w="59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Нормативная толщина стенки гололёда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15 мм (район II)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Нормативное ветровое давление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650 Па (район III)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Ветровое давление при гололёде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200 Па (п. 2.5.43 ПУЭ-7: 0,25 нормативного ветрового давления, для ВЛ до 20 кВ — не менее 200 Па)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Коэффициент, учитывающий тип местности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w="336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 xml:space="preserve">Коэффициенты надёжности</w:t>
            </w:r>
          </w:p>
        </w:tc>
        <w:tc>
          <w:tcPr>
            <w:tcW w:w="59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вес — 1,05; гололёд — 1,3; ветер — 1,3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Ж.3 Учтённая существующая подвеска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374"/>
        <w:gridCol w:w="2058"/>
        <w:gridCol w:w="655"/>
        <w:gridCol w:w="842"/>
        <w:gridCol w:w="936"/>
        <w:gridCol w:w="936"/>
        <w:gridCol w:w="748"/>
        <w:gridCol w:w="842"/>
        <w:gridCol w:w="1965"/>
      </w:tblGrid>
      <w:tr>
        <w:trPr>
          <w:cantSplit/>
          <w:tblHeader/>
        </w:trPr>
        <w:tc>
          <w:tcPr>
            <w:tcW w:w="37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№</w:t>
            </w:r>
          </w:p>
        </w:tc>
        <w:tc>
          <w:tcPr>
            <w:tcW w:w="205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Марка провода / кабеля</w:t>
            </w:r>
          </w:p>
        </w:tc>
        <w:tc>
          <w:tcPr>
            <w:tcW w:w="65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Кол-во, шт.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Диаметр, мм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Масса, кг/км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Высота подвеса, м</w:t>
            </w:r>
          </w:p>
        </w:tc>
        <w:tc>
          <w:tcPr>
            <w:tcW w:w="74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Тяжение, кН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Класс, кВ</w:t>
            </w:r>
          </w:p>
        </w:tc>
        <w:tc>
          <w:tcPr>
            <w:tcW w:w="19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Принадлежность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СИП-2 3х70+1х95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24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720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7,0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8,5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19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Владелец (провода ВЛ)</w:t>
            </w:r>
          </w:p>
        </w:tc>
      </w:tr>
      <w:tr>
        <w:trPr>
          <w:cantSplit/>
        </w:trPr>
        <w:tc>
          <w:tcPr>
            <w:tcW w:w="3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w="205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АС 50/8</w:t>
            </w:r>
          </w:p>
        </w:tc>
        <w:tc>
          <w:tcPr>
            <w:tcW w:w="65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9,6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195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8,2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w="19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Владелец (провода ВЛ)</w:t>
            </w:r>
          </w:p>
        </w:tc>
      </w:tr>
      <w:tr>
        <w:trPr>
          <w:cantSplit/>
        </w:trPr>
        <w:tc>
          <w:tcPr>
            <w:tcW w:w="374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w="2058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ОКСН-8-4,0</w:t>
            </w:r>
          </w:p>
        </w:tc>
        <w:tc>
          <w:tcPr>
            <w:tcW w:w="655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11,5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105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6,0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0,4</w:t>
            </w:r>
          </w:p>
        </w:tc>
        <w:tc>
          <w:tcPr>
            <w:tcW w:w="19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7"/>
                <w:szCs w:val="17"/>
              </w:rPr>
              <w:t xml:space="preserve">Иной пользователь инфраструктуры</w:t>
            </w:r>
          </w:p>
        </w:tc>
      </w:tr>
    </w:tbl>
    <w:p>
      <w:pPr>
        <w:spacing w:after="120" w:line="240" w:lineRule="auto"/>
      </w:pPr>
    </w:p>
    <w:p>
      <w:pPr>
        <w:keepNext/>
        <w:spacing w:before="220" w:after="120" w:line="276" w:lineRule="auto"/>
        <w:jc w:val="left"/>
      </w:pPr>
      <w:r>
        <w:rPr>
          <w:b/>
          <w:bCs/>
          <w:color w:val="0F1E2E"/>
          <w:sz w:val="25"/>
          <w:szCs w:val="25"/>
        </w:rPr>
        <w:t xml:space="preserve">Ж.4 Результаты оценки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842"/>
        <w:gridCol w:w="1029"/>
        <w:gridCol w:w="842"/>
        <w:gridCol w:w="748"/>
        <w:gridCol w:w="842"/>
        <w:gridCol w:w="936"/>
        <w:gridCol w:w="936"/>
        <w:gridCol w:w="842"/>
        <w:gridCol w:w="936"/>
        <w:gridCol w:w="1403"/>
      </w:tblGrid>
      <w:tr>
        <w:trPr>
          <w:cantSplit/>
          <w:tblHeader/>
        </w:trPr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Марка опоры</w:t>
            </w:r>
          </w:p>
        </w:tc>
        <w:tc>
          <w:tcPr>
            <w:tcW w:w="1029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Стойка / типовой проект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Схема</w:t>
            </w:r>
          </w:p>
        </w:tc>
        <w:tc>
          <w:tcPr>
            <w:tcW w:w="748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Расч. пролёт, м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</w:t>
            </w:r>
            <w:r>
              <w:rPr>
                <w:b/>
                <w:bCs/>
                <w:color w:val="FFFFFF"/>
                <w:sz w:val="18"/>
                <w:szCs w:val="18"/>
                <w:vertAlign w:val="subscript"/>
              </w:rPr>
              <w:t xml:space="preserve">доп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, кН·м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 от существующей подвески, кН·м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 от размещаемого кабеля, кН·м</w:t>
            </w:r>
          </w:p>
        </w:tc>
        <w:tc>
          <w:tcPr>
            <w:tcW w:w="842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 от тяжения, кН·м</w:t>
            </w:r>
          </w:p>
        </w:tc>
        <w:tc>
          <w:tcPr>
            <w:tcW w:w="936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 суммарный, кН·м</w:t>
            </w:r>
          </w:p>
        </w:tc>
        <w:tc>
          <w:tcPr>
            <w:tcW w:w="140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Запас, %</w:t>
            </w:r>
          </w:p>
        </w:tc>
      </w:tr>
      <w:tr>
        <w:trPr>
          <w:cantSplit/>
        </w:trPr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УА8-1</w:t>
            </w:r>
          </w:p>
        </w:tc>
        <w:tc>
          <w:tcPr>
            <w:tcW w:w="10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СВ95-2 / 3.407.1-136 вып.1 (СВ95-2)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угловая анкерная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41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2,83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17,55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20,38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КА8-1</w:t>
            </w:r>
          </w:p>
        </w:tc>
        <w:tc>
          <w:tcPr>
            <w:tcW w:w="10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СВ95-2 / 3.407.1-136 вып.1 (СВ95-2)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концевая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2,90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17,55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20,45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ОА8-1</w:t>
            </w:r>
          </w:p>
        </w:tc>
        <w:tc>
          <w:tcPr>
            <w:tcW w:w="10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СВ95-2 / 3.407.1-136 вып.1 (СВ95-2)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ответвительная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2,97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17,55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20,52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ОА8-1 </w:t>
            </w:r>
            <w:r>
              <w:rPr>
                <w:sz w:val="20"/>
                <w:szCs w:val="20"/>
              </w:rPr>
              <w:t xml:space="preserve">(с дефектом Б, k=0,8)</w:t>
            </w:r>
          </w:p>
        </w:tc>
        <w:tc>
          <w:tcPr>
            <w:tcW w:w="10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СВ95-2 / 3.407.1-136 вып.1 (СВ95-2)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ответвительная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43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16,0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2,97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17,55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20,52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П8-1</w:t>
            </w:r>
          </w:p>
        </w:tc>
        <w:tc>
          <w:tcPr>
            <w:tcW w:w="10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СВ95-2 / 3.407.1-136 вып.1 (СВ95-2)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промежуточная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20,0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3,04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3,04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84,8</w:t>
            </w:r>
          </w:p>
        </w:tc>
      </w:tr>
      <w:tr>
        <w:trPr>
          <w:cantSplit/>
        </w:trPr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УА10-1</w:t>
            </w:r>
          </w:p>
        </w:tc>
        <w:tc>
          <w:tcPr>
            <w:tcW w:w="10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СВ105 / 3.407.1-143 вып.1 (СВ105)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угловая анкерная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35,0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12,77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3,45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165,15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181,37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УА10-1 </w:t>
            </w:r>
            <w:r>
              <w:rPr>
                <w:sz w:val="20"/>
                <w:szCs w:val="20"/>
              </w:rPr>
              <w:t xml:space="preserve">(с дефектом Б, k=0,8)</w:t>
            </w:r>
          </w:p>
        </w:tc>
        <w:tc>
          <w:tcPr>
            <w:tcW w:w="10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СВ105 / 3.407.1-143 вып.1 (СВ105)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угловая анкерная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28,0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12,77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3,45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165,15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181,37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А10-1</w:t>
            </w:r>
          </w:p>
        </w:tc>
        <w:tc>
          <w:tcPr>
            <w:tcW w:w="10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СВ105 / 3.407.1-143 вып.1 (СВ105)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концевая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35,0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12,00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3,24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165,15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180,39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ОА10-1</w:t>
            </w:r>
          </w:p>
        </w:tc>
        <w:tc>
          <w:tcPr>
            <w:tcW w:w="1029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СВ105 / 3.407.1-143 вып.1 (СВ105)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ответвительная</w:t>
            </w:r>
          </w:p>
        </w:tc>
        <w:tc>
          <w:tcPr>
            <w:tcW w:w="748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108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35,0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25,09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6,78</w:t>
            </w:r>
          </w:p>
        </w:tc>
        <w:tc>
          <w:tcPr>
            <w:tcW w:w="842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165,15</w:t>
            </w:r>
          </w:p>
        </w:tc>
        <w:tc>
          <w:tcPr>
            <w:tcW w:w="936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197,02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не выдаётся</w:t>
            </w:r>
          </w:p>
        </w:tc>
      </w:tr>
      <w:tr>
        <w:trPr>
          <w:cantSplit/>
        </w:trPr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П10-1</w:t>
            </w:r>
          </w:p>
        </w:tc>
        <w:tc>
          <w:tcPr>
            <w:tcW w:w="1029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СВ105 / 3.407.1-143 вып.1 (СВ105)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промежуточная</w:t>
            </w:r>
          </w:p>
        </w:tc>
        <w:tc>
          <w:tcPr>
            <w:tcW w:w="748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49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35,0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12,51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3,38</w:t>
            </w:r>
          </w:p>
        </w:tc>
        <w:tc>
          <w:tcPr>
            <w:tcW w:w="842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0,00</w:t>
            </w:r>
          </w:p>
        </w:tc>
        <w:tc>
          <w:tcPr>
            <w:tcW w:w="936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15,89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54,6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Расчётный пролёт — наибольший в пределах марки опоры по данным приложения Б. Расчётный режим — определяющий из «ветер без гололёда» и «ветер при гололёде на покрытые гололёдом провода». Запись «не выдаётся» означает, что опора воспринимает неуравновешенное тяжение и упрощённая сопоставительная оценка к ней неприменима; поверочный расчёт по расчётной схеме включён в приложение Е.1. Запись «н/д» в графе момента от тяжения означает, что монтажное тяжение при обследовании не устанавливалось.</w:t>
      </w:r>
    </w:p>
    <w:p>
      <w:pPr>
        <w:spacing w:before="0" w:after="120" w:line="276" w:lineRule="auto"/>
        <w:jc w:val="both"/>
      </w:pPr>
      <w:r>
        <w:rPr>
          <w:sz w:val="20"/>
          <w:szCs w:val="20"/>
        </w:rPr>
        <w:t xml:space="preserve">Опоры с фактическим пролётом свыше габаритного: УА8-1 — 1 шт. (габаритный 40 м); КА8-1 — 1 шт. (габаритный 40 м); ОА8-1 — 1 шт. (габаритный 40 м); ОА8-1 — 1 шт. (габаритный 40 м); П8-1 — 1 шт. (габаритный 40 м); ОА10-1 — 1 шт. (габаритный 60 м).</w:t>
      </w:r>
    </w:p>
    <w:p>
      <w:pPr>
        <w:pageBreakBefore/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Лист внутреннего контроля качества отчёта</w:t>
      </w:r>
    </w:p>
    <w:p>
      <w:pPr>
        <w:spacing w:before="0" w:after="120" w:line="276" w:lineRule="auto"/>
        <w:jc w:val="both"/>
      </w:pPr>
      <w:r>
        <w:t xml:space="preserve">Контроль выполнен автоматизированно при формировании отчёта и подтверждён нормоконтролёром. Статусы: </w:t>
      </w:r>
      <w:r>
        <w:rPr>
          <w:b/>
          <w:bCs/>
        </w:rPr>
        <w:t xml:space="preserve">соответствует</w:t>
      </w:r>
      <w:r>
        <w:t xml:space="preserve"> — требование выполнено; </w:t>
      </w:r>
      <w:r>
        <w:rPr>
          <w:b/>
          <w:bCs/>
        </w:rPr>
        <w:t xml:space="preserve">внимание</w:t>
      </w:r>
      <w:r>
        <w:t xml:space="preserve"> — требуется проверка или пояснение; </w:t>
      </w:r>
      <w:r>
        <w:rPr>
          <w:b/>
          <w:bCs/>
        </w:rPr>
        <w:t xml:space="preserve">несоответствие</w:t>
      </w:r>
      <w:r>
        <w:t xml:space="preserve"> — подлежит устранению до выпуска отчёта.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1590"/>
        <w:gridCol w:w="3087"/>
        <w:gridCol w:w="1403"/>
        <w:gridCol w:w="3274"/>
      </w:tblGrid>
      <w:tr>
        <w:trPr>
          <w:cantSplit/>
          <w:tblHeader/>
        </w:trPr>
        <w:tc>
          <w:tcPr>
            <w:tcW w:w="159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w="3087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Проверка</w:t>
            </w:r>
          </w:p>
        </w:tc>
        <w:tc>
          <w:tcPr>
            <w:tcW w:w="1403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Статус</w:t>
            </w:r>
          </w:p>
        </w:tc>
        <w:tc>
          <w:tcPr>
            <w:tcW w:w="3274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Примечание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Обязательные реквизиты паспорта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заполнены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Перечень опор (подпункт «а» п. 13)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55 поз.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Схема размещения (подпункт «а» п. 13)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ВНИМАНИЕ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не загружена — приложение А пусто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Размещаемые элементы сети электросвязи (лист «Кабели»)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1 поз.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Климатические условия и их источник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источник: карты климатического районирования ПУЭ-7 (табл. 2.5.1, 2.5.3); СП 131.13330.2020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Пообъектная идентификация линий (лист «Линии»)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2 линий описано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Исходные данные и их источники (ст. 759 ГК РФ)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приведены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Работы, не выполнявшиеся (граница с инженерными изысканиями)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перечень приведён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Организация работ: состав бригады, наряд-допуск, схема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работников: 2; наряд-допуск № 118 от 29.07.2026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Техническое задание и программа работ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ТЗ № ДРНУ-2026-00028; ПР № ДРНУ-2026-00028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I. Комплектность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Сведения об охранной зоне (ПП РФ № 160)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указаны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Аварийное состояние ↔ вывод «есть»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конфликтов нет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Дефект категории А ↔ вывод «есть»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конфликтов нет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«Есть при условии» ↔ мероприятие указано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соответствие обеспечено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Мероприятия при условном/отсутствующем доступе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соответствие обеспечено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Счётчик дефектов по категориям = числу строк ведомости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ведомость — 3 поз.; по категориям A/Б/В — 1/2/0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Сумма по технологической возможности = числу опор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52 + 2 + 1 = 55 при 55 опорах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Аварийные опоры не суммируются с ограниченно работоспособными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аварийных — 1, «доступ отсутствует» — 1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Число мероприятий = числу строк приложения 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приложение Е — 9 поз. (Е.1 — 6, Е.2 — 3)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Уникальность строк протокола (опора × вид измерения)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дублирования нет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Дефект «отклонение» ↔ протокол «соответствует»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конфликтов нет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Раздельность измерений (нет тиражирования значения)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каждое измерение привязано к своей опоре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Все строки протокола привязаны к опоре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привязка обеспечена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Заявленные методы подтверждены протоколами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расхождений нет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Контроль прочности на опорах с коррозией арматуры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обеспечен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II. Непротиворечивость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Высота подвеса ≥ нормируемого габарита ОК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геометрия подвеса непротиворечива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Все СИ из протоколов внесены в приложение Д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соответствие обеспечено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Записи о поверке во ФГИС «Аршин» (приказ № 2510)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указаны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III. Метрология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Поверки действительны на период работ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действительны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IV. Сроки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Соблюдение срока исполнения обязательств по договору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отчёт 05.08.2026 / предел 12.08.2026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Запас по всем типам опор неотрицателен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обеспечен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Запас не менее 10 %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обеспечен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Допустимые моменты заданы для всех типов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заданы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 расчёте учтены собственные провода ВЛ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учтено позиций: 2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Тип ранее размещённых кабелей установлен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установлен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Опоры, воспринимающие тяжение, вынесены в поверочный расчёт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количественная оценка не выдаётся по маркам: УА8-1, КА8-1, ОА8-1, УА10-1, А10-1, ОА10-1; поверочный расчёт включён в приложение Е.1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Существующая подвеска отнесена к классам напряжения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отнесение выполнено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Пролёты в пределах габаритного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ВНИМАНИЕ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пролёт свыше габаритного у 5 опор — расчёт выполнен по наибольшему пролёту, поверочный расчёт в приложении Е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V. Несущая способность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Учёт состояния дефектных опор в расчёте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для 2 марок выполнен вариант с понижающим коэффициентом 0,8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VI. Разделение ответственности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Дефекты эксплуатации не возложены на пользователя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соответствие обеспечено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VI. Разделение ответственности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Сроки по мероприятиям владельца заданы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ВНИМАНИЕ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не указан срок по 3 поз. группы Е.2</w:t>
            </w:r>
          </w:p>
        </w:tc>
      </w:tr>
      <w:tr>
        <w:trPr>
          <w:cantSplit/>
        </w:trPr>
        <w:tc>
          <w:tcPr>
            <w:tcW w:w="15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VI. Разделение ответственности</w:t>
            </w:r>
          </w:p>
        </w:tc>
        <w:tc>
          <w:tcPr>
            <w:tcW w:w="3087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Аварийные опоры переданы в эксплуатацию</w:t>
            </w:r>
          </w:p>
        </w:tc>
        <w:tc>
          <w:tcPr>
            <w:tcW w:w="1403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переданы в Ленинградские ЭС 05.08.2026, запись в журнале дефектов № 2026/441</w:t>
            </w:r>
          </w:p>
        </w:tc>
      </w:tr>
      <w:tr>
        <w:trPr>
          <w:cantSplit/>
        </w:trPr>
        <w:tc>
          <w:tcPr>
            <w:tcW w:w="15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IV. Сроки</w:t>
            </w:r>
          </w:p>
        </w:tc>
        <w:tc>
          <w:tcPr>
            <w:tcW w:w="3087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Непротиворечивость хронологии</w:t>
            </w:r>
          </w:p>
        </w:tc>
        <w:tc>
          <w:tcPr>
            <w:tcW w:w="1403" w:type="dxa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sz w:val="19"/>
                <w:szCs w:val="19"/>
              </w:rPr>
              <w:t xml:space="preserve">соответствует</w:t>
            </w:r>
          </w:p>
        </w:tc>
        <w:tc>
          <w:tcPr>
            <w:tcW w:w="3274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последовательность дат непротиворечива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Итог контроля: несоответствий — 0, замечаний — 3. Отчёт допускается к выпуску с учётом пояснений по замечаниям.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4865"/>
        <w:gridCol w:w="4490"/>
      </w:tblGrid>
      <w:tr>
        <w:trPr>
          <w:cantSplit/>
          <w:tblHeader/>
        </w:trPr>
        <w:tc>
          <w:tcPr>
            <w:tcW w:w="48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Нормоконтроль / внутренний аудит</w:t>
            </w:r>
          </w:p>
        </w:tc>
        <w:tc>
          <w:tcPr>
            <w:tcW w:w="449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Подпись, дата</w:t>
            </w:r>
          </w:p>
        </w:tc>
      </w:tr>
      <w:tr>
        <w:trPr>
          <w:cantSplit/>
        </w:trPr>
        <w:tc>
          <w:tcPr>
            <w:tcW w:w="48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ведущий специалист ДРНУ, Сидорова А.В.</w:t>
            </w:r>
          </w:p>
        </w:tc>
        <w:tc>
          <w:tcPr>
            <w:tcW w:w="44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_______________ «____» ____________ 2026 г.</w:t>
            </w:r>
          </w:p>
        </w:tc>
      </w:tr>
    </w:tbl>
    <w:p>
      <w:pPr>
        <w:spacing w:after="120" w:line="240" w:lineRule="auto"/>
      </w:pPr>
    </w:p>
    <w:p>
      <w:pPr>
        <w:keepNext/>
        <w:pBdr>
          <w:bottom w:val="single" w:sz="18" w:space="2" w:color="005B9C"/>
        </w:pBdr>
        <w:spacing w:before="300" w:after="160" w:line="276" w:lineRule="auto"/>
        <w:jc w:val="left"/>
      </w:pPr>
      <w:r>
        <w:rPr>
          <w:b/>
          <w:bCs/>
          <w:color w:val="0F1E2E"/>
          <w:sz w:val="27"/>
          <w:szCs w:val="27"/>
        </w:rPr>
        <w:t xml:space="preserve">Подписи</w:t>
      </w:r>
    </w:p>
    <w:tbl>
      <w:tblPr>
        <w:tblW w:w="9355" w:type="dxa"/>
        <w:tblLayout w:type="fixed"/>
        <w:tblBorders>
          <w:top w:val="single" w:sz="6" w:space="0" w:color="6B7480"/>
          <w:left w:val="single" w:sz="6" w:space="0" w:color="6B7480"/>
          <w:bottom w:val="single" w:sz="6" w:space="0" w:color="6B7480"/>
          <w:right w:val="single" w:sz="6" w:space="0" w:color="6B7480"/>
          <w:insideH w:val="single" w:sz="6" w:space="0" w:color="6B7480"/>
          <w:insideV w:val="single" w:sz="6" w:space="0" w:color="6B7480"/>
        </w:tblBorders>
        <w:tblCellMar>
          <w:top w:w="60" w:type="dxa"/>
          <w:left w:w="85" w:type="dxa"/>
          <w:bottom w:w="60" w:type="dxa"/>
          <w:right w:w="85" w:type="dxa"/>
        </w:tblCellMar>
      </w:tblPr>
      <w:tblGrid>
        <w:gridCol w:w="4865"/>
        <w:gridCol w:w="4490"/>
      </w:tblGrid>
      <w:tr>
        <w:trPr>
          <w:cantSplit/>
          <w:tblHeader/>
        </w:trPr>
        <w:tc>
          <w:tcPr>
            <w:tcW w:w="4865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Должность</w:t>
            </w:r>
          </w:p>
        </w:tc>
        <w:tc>
          <w:tcPr>
            <w:tcW w:w="4490" w:type="dxa"/>
            <w:shd w:val="clear" w:color="auto" w:fill="005B9C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Подпись, Ф.И.О.</w:t>
            </w:r>
          </w:p>
        </w:tc>
      </w:tr>
      <w:tr>
        <w:trPr>
          <w:cantSplit/>
        </w:trPr>
        <w:tc>
          <w:tcPr>
            <w:tcW w:w="4865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Начальник департамента развития нетарифных услуг</w:t>
            </w:r>
          </w:p>
        </w:tc>
        <w:tc>
          <w:tcPr>
            <w:tcW w:w="4490" w:type="dx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_______________ Логачев М.А.</w:t>
            </w:r>
          </w:p>
        </w:tc>
      </w:tr>
      <w:tr>
        <w:trPr>
          <w:cantSplit/>
        </w:trPr>
        <w:tc>
          <w:tcPr>
            <w:tcW w:w="4865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главный специалист ДРНУ Логачев М.А.</w:t>
            </w:r>
          </w:p>
        </w:tc>
        <w:tc>
          <w:tcPr>
            <w:tcW w:w="4490" w:type="dxa"/>
            <w:shd w:val="clear" w:color="auto" w:fill="F4F7FA"/>
            <w:vAlign w:val="top"/>
          </w:tcPr>
          <w:p>
            <w:pPr>
              <w:spacing w:before="0" w:after="0" w:line="240" w:lineRule="auto"/>
              <w:jc w:val="both"/>
            </w:pPr>
            <w:r>
              <w:rPr>
                <w:sz w:val="19"/>
                <w:szCs w:val="19"/>
              </w:rPr>
              <w:t xml:space="preserve">_______________</w:t>
            </w:r>
          </w:p>
        </w:tc>
      </w:tr>
    </w:tbl>
    <w:p>
      <w:pPr>
        <w:spacing w:after="120" w:line="240" w:lineRule="auto"/>
      </w:pPr>
    </w:p>
    <w:p>
      <w:pPr>
        <w:spacing w:before="0" w:after="120" w:line="276" w:lineRule="auto"/>
        <w:jc w:val="both"/>
      </w:pPr>
      <w:r>
        <w:t xml:space="preserve">М.П.</w:t>
      </w:r>
    </w:p>
    <w:p>
      <w:pPr>
        <w:spacing w:before="0" w:after="120" w:line="276" w:lineRule="auto"/>
        <w:jc w:val="both"/>
      </w:pPr>
      <w:r>
        <w:t xml:space="preserve">Отчёт направлен пользователю инфраструктуры «____» _______________ 2026 г. посредством ____________________ связи.</w:t>
      </w:r>
    </w:p>
    <w:sectPr>
      <w:headerReference w:type="default" r:id="rIdH1"/>
      <w:headerReference w:type="first" r:id="rIdH2"/>
      <w:footerReference w:type="default" r:id="rIdF1"/>
      <w:footerReference w:type="first" r:id="rIdF2"/>
      <w:titlePg/>
      <w:pgSz w:w="11906" w:h="16838"/>
      <w:pgMar w:top="1360" w:right="850" w:bottom="1250" w:left="1701" w:header="600" w:footer="500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top w:val="single" w:sz="6" w:space="1" w:color="005B9C"/>
      </w:pBdr>
      <w:spacing w:before="0" w:after="0" w:line="240" w:lineRule="auto"/>
      <w:jc w:val="center"/>
    </w:pPr>
    <w:r>
      <w:rPr>
        <w:color w:val="33404D"/>
        <w:sz w:val="17"/>
        <w:szCs w:val="17"/>
      </w:rPr>
      <w:t xml:space="preserve"> · Лист </w:t>
    </w:r>
    <w:r>
      <w:fldChar w:fldCharType="begin"/>
    </w:r>
    <w:r>
      <w:instrText xml:space="preserve"> PAGE </w:instrText>
    </w:r>
    <w:r>
      <w:fldChar w:fldCharType="separate"/>
    </w:r>
    <w:r>
      <w:rPr>
        <w:sz w:val="17"/>
        <w:color w:val="33404D"/>
      </w:rPr>
      <w:t>1</w:t>
    </w:r>
    <w:r>
      <w:fldChar w:fldCharType="end"/>
    </w:r>
    <w:r>
      <w:rPr>
        <w:color w:val="33404D"/>
        <w:sz w:val="17"/>
        <w:szCs w:val="17"/>
      </w:rPr>
      <w:t xml:space="preserve"> из </w:t>
    </w:r>
    <w:r>
      <w:fldChar w:fldCharType="begin"/>
    </w:r>
    <w:r>
      <w:instrText xml:space="preserve"> NUMPAGES </w:instrText>
    </w:r>
    <w:r>
      <w:fldChar w:fldCharType="separate"/>
    </w:r>
    <w:r>
      <w:rPr>
        <w:sz w:val="17"/>
        <w:color w:val="33404D"/>
      </w:rPr>
      <w:t>1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spacing w:after="0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9355"/>
      </w:tabs>
      <w:pBdr>
        <w:bottom w:val="single" w:sz="6" w:space="1" w:color="005B9C"/>
      </w:pBdr>
      <w:spacing w:after="0" w:line="240" w:lineRule="auto"/>
      <w:jc w:val="left"/>
    </w:pPr>
    <w:r>
      <w:rPr>
        <w:color w:val="33404D"/>
        <w:sz w:val="17"/>
        <w:szCs w:val="17"/>
      </w:rPr>
      <w:t xml:space="preserve">Филиал ПАО «Россети Юг» — «Кубаньэнерго»</w:t>
    </w:r>
    <w:r>
      <w:tab/>
    </w:r>
    <w:r>
      <w:rPr>
        <w:color w:val="33404D"/>
        <w:sz w:val="17"/>
        <w:szCs w:val="17"/>
      </w:rPr>
      <w:t xml:space="preserve"/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spacing w:after="0"/>
    </w:pP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14118"/>
      </w:tabs>
      <w:pBdr>
        <w:bottom w:val="single" w:sz="6" w:space="1" w:color="005B9C"/>
      </w:pBdr>
      <w:spacing w:after="0" w:line="240" w:lineRule="auto"/>
      <w:jc w:val="left"/>
    </w:pPr>
    <w:r>
      <w:rPr>
        <w:color w:val="33404D"/>
        <w:sz w:val="17"/>
        <w:szCs w:val="17"/>
      </w:rPr>
      <w:t xml:space="preserve">Филиал ПАО «Россети Юг» — «Кубаньэнерго»</w:t>
    </w:r>
    <w:r>
      <w:tab/>
    </w:r>
    <w:r>
      <w:rPr>
        <w:color w:val="33404D"/>
        <w:sz w:val="17"/>
        <w:szCs w:val="17"/>
      </w:rPr>
      <w:t xml:space="preserve"/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H1" Type="http://schemas.openxmlformats.org/officeDocument/2006/relationships/header" Target="header1.xml"/><Relationship Id="rIdH2" Type="http://schemas.openxmlformats.org/officeDocument/2006/relationships/header" Target="header2.xml"/><Relationship Id="rIdH3" Type="http://schemas.openxmlformats.org/officeDocument/2006/relationships/header" Target="header3.xml"/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