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BCD" w:rsidRDefault="00EA4BCD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4B02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Колесников Анатолий Федорович </w:t>
      </w: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sdt>
      <w:sdtPr>
        <w:id w:val="1726949147"/>
        <w:docPartObj>
          <w:docPartGallery w:val="Table of Contents"/>
          <w:docPartUnique/>
        </w:docPartObj>
      </w:sdtPr>
      <w:sdtContent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sz w:val="36"/>
              <w:szCs w:val="3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36"/>
              <w:szCs w:val="36"/>
            </w:rPr>
            <w:t>Содержание</w:t>
          </w:r>
        </w:p>
        <w:p w:rsidR="00EA4BCD" w:rsidRDefault="00EA4BCD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gjdgxs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0j0zll"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 Аналитическая часть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y77thine5guv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Постановка задачи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Описание используемых методов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1.2.1 Линейная регрессия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1.2.2 Регрессия k-ближайших соседей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1.2.3 Случайный лес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1.2.4 Многослойный перцептрон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1.2.5 Метрики качества моделей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nsnrzohmgly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Разведочный анализ данных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 Практическая часть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16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9xdibtlyf9f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Предобработка данных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c55g514bz9n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Разработка и обучение модели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s8eyo1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Тестирование моделей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p6dkkn49m3e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Линейная регрессия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k2vvwc7h91y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Метод k-ближайших соседей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jeqxis814yc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2.3.3 Случайный лес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rdcrjn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 Нейронная сеть, которая будет рекомендовать соотношение матрица-наполнитель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28</w:t>
            </w:r>
          </w:hyperlink>
        </w:p>
        <w:p w:rsidR="00EA4BCD" w:rsidRDefault="0007046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lnxbz9"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Список литературы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29</w:t>
            </w:r>
          </w:hyperlink>
          <w:r w:rsidR="004B0241">
            <w:fldChar w:fldCharType="end"/>
          </w:r>
        </w:p>
      </w:sdtContent>
    </w:sdt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4B0241">
      <w:pPr>
        <w:pStyle w:val="1"/>
        <w:spacing w:line="360" w:lineRule="auto"/>
        <w:rPr>
          <w:b/>
        </w:rPr>
      </w:pPr>
      <w:bookmarkStart w:id="0" w:name="_gjdgxs" w:colFirst="0" w:colLast="0"/>
      <w:bookmarkEnd w:id="0"/>
      <w:r>
        <w:rPr>
          <w:b/>
        </w:rPr>
        <w:lastRenderedPageBreak/>
        <w:t xml:space="preserve">Введение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Благодаря машинному обучению программист не обязан писать инструкции, учитывающие все возможные проблемы и содержащие все решения. Вместо этого в компьютер (или отдельную программу) закладывают алгоритм самостоятельного нахождения решений путём комплексного использования статистических данных, из которых выводятся закономерности и. на основе которых. делаются прогнозы.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Технология машинного обучения на основе анализа данных берёт начало в 1950 году, когда начали разрабатывать первые программы для игры в шашки. За прошедшие десятилетия общий принцип не изменился. Зато благодаря взрывному росту вычислительных мощностей компьютеров многократно усложнились закономерности и прогнозы, и расширился круг проблем и задач, решаемых с использованием машинного обучения.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Чтобы запустить процесс машинного обучение, для начала необходимо загрузить в компьютер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(некоторое количество исходных данных), на которых алгоритм будет учиться обрабатывать запросы. Мы рассмотрим задачу предсказания свойств композиционных материалов на основе стандартного учебного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07046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Композиционный </w:t>
      </w:r>
      <w:proofErr w:type="spellStart"/>
      <w:r w:rsidRPr="00070460">
        <w:rPr>
          <w:rFonts w:ascii="Times New Roman" w:eastAsia="Times New Roman" w:hAnsi="Times New Roman" w:cs="Times New Roman"/>
          <w:sz w:val="28"/>
          <w:szCs w:val="28"/>
        </w:rPr>
        <w:t>материа́л</w:t>
      </w:r>
      <w:proofErr w:type="spellEnd"/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 или композитный </w:t>
      </w:r>
      <w:proofErr w:type="spellStart"/>
      <w:r w:rsidRPr="00070460">
        <w:rPr>
          <w:rFonts w:ascii="Times New Roman" w:eastAsia="Times New Roman" w:hAnsi="Times New Roman" w:cs="Times New Roman"/>
          <w:sz w:val="28"/>
          <w:szCs w:val="28"/>
        </w:rPr>
        <w:t>материа́л</w:t>
      </w:r>
      <w:proofErr w:type="spellEnd"/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 (КМ), сокращённо </w:t>
      </w:r>
      <w:proofErr w:type="spellStart"/>
      <w:r w:rsidRPr="00070460">
        <w:rPr>
          <w:rFonts w:ascii="Times New Roman" w:eastAsia="Times New Roman" w:hAnsi="Times New Roman" w:cs="Times New Roman"/>
          <w:sz w:val="28"/>
          <w:szCs w:val="28"/>
        </w:rPr>
        <w:t>компози́т</w:t>
      </w:r>
      <w:proofErr w:type="spellEnd"/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 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суперпозицией. В составе композита принято выделять матрицу/матрицы и наполнитель/наполнители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t xml:space="preserve"> Яркий пример композита - железобетон. Бетон прекрасно сопротивляется сжатию, но плохо растяжению. Стальная арматура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(наполнитель)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t xml:space="preserve"> внутри бетона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(матрица)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t xml:space="preserve"> компенсирует его 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lastRenderedPageBreak/>
        <w:t>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EA4BCD" w:rsidRDefault="004B0241">
      <w:pPr>
        <w:spacing w:before="60" w:after="6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EA4BCD">
      <w:pPr>
        <w:spacing w:before="60" w:after="60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1"/>
        <w:spacing w:before="60" w:after="60"/>
        <w:rPr>
          <w:b/>
        </w:rPr>
      </w:pPr>
      <w:bookmarkStart w:id="1" w:name="_30j0zll" w:colFirst="0" w:colLast="0"/>
      <w:bookmarkEnd w:id="1"/>
      <w:r>
        <w:rPr>
          <w:b/>
        </w:rPr>
        <w:t>1. Аналитическая часть</w:t>
      </w:r>
    </w:p>
    <w:p w:rsidR="00EA4BCD" w:rsidRDefault="00EA4BCD"/>
    <w:p w:rsidR="00EA4BCD" w:rsidRDefault="004B0241">
      <w:pPr>
        <w:pStyle w:val="2"/>
        <w:spacing w:before="60" w:after="60"/>
        <w:ind w:firstLine="709"/>
        <w:jc w:val="both"/>
      </w:pPr>
      <w:bookmarkStart w:id="2" w:name="_y77thine5guv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Постановка задачи</w:t>
      </w:r>
      <w:r>
        <w:t xml:space="preserve"> </w:t>
      </w:r>
    </w:p>
    <w:p w:rsidR="00EA4BCD" w:rsidRDefault="00EA4BCD"/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Композиты - многокомпонентные материалы, состоящие из полимерной, металлической., углеродной, керамической или др. основы (матрицы), армированной наполнителями из волокон, нитевидных кристаллов,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тонкодиспeрсных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частиц и др. Путем подбора состава и свойств наполнителя и матрицы (связующего), их соотношения, ориентации наполнителя можно получить материалы с требуемым сочетанием эксплуатационных и технологических свойств. Использование в одном материале нескольких матриц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полиматричные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композиционные материалы) или наполнителей различной природы (гибридные композиционные материалы) значительно расширяет возможности регулирования свойств композиционных материалов.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Эффективность и работоспособность материала зависят от правильного выбора исходных компонентов и технологии их совмещения, призванной обеспечить прочную связь между компонентами при сохранении их первоначальных характеристик. В результате совмещения армирующих элементов и матрицы образуется комплекс свойств композита, не только отражающий исходные характеристики его компонентов, но и включающий свойства, которыми изолированные компоненты не обладают. В частности, наличие границ раздела между армирующими элементами и матрицей существенно повышает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трещиностойкость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материала, и в композитах, в отличие от металлов, повышение статической прочности приводит не к снижению, а, как правило, к повышению характеристик вязкости разрушения. 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Современные композиты изготавливаются из различных материалов, но даже если мы знаем характеристики исходных компонентов, определить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характеристики композита, состоящего из известных компонентов, достаточно проблематично. Для решения этой проблемы есть два пути: физические испытания образцов материалов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затратно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времени, и потребляемым ресурсам) или теоретическое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A4BCD" w:rsidRDefault="004B0241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композитов. 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Предметом выпускной квалификационной работы является построение моделей для прогнозирования таких характеристик композиционных материалов, как модуль упругости при растяжении, прочность при растяжении и создание нейронной сети для рекомендации соотношения матрица-наполнитель.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двух файлов:</w:t>
      </w:r>
    </w:p>
    <w:p w:rsidR="00EA4BCD" w:rsidRDefault="004B02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X_bp.xlsx с данными о параметрах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базальтопластика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A4BCD" w:rsidRDefault="004B02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X_nup.xlsx с данными о нашивках из углепластика.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проводится объединение двух файлов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X_bp.xlsx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X_nup.xlsx по индексу, используя тип объединения INNER.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строк в файле X_bp.xlsx было 1023, столбцов 10. А количество строк в файле X_nup.xlsx – 1040, столбцов 3.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объединения таблиц, 17 строк из файла X_nup.xlsx было отброшено. Дальнейшие исследования проводились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содержащим 1023 строк и 13 столбцов. 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2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Описание используемых методов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:rsidR="00EA4BCD" w:rsidRDefault="00EA4BCD">
      <w:pPr>
        <w:pStyle w:val="3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qnwi5igan35t" w:colFirst="0" w:colLast="0"/>
      <w:bookmarkEnd w:id="4"/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3znysh7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1.2.1 Линейная регрессия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LinearRegression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(1.1) и строится соответствующая прямая, известная как линия регрессии.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7561" cy="30453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561" cy="30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(1.1)</w:t>
      </w:r>
    </w:p>
    <w:p w:rsidR="00EA4BCD" w:rsidRDefault="00EA4BC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3275" cy="68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(1.2)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n - число входных переменных.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линейная регрессия реализована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sklearn.linear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_model.LinearRegression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2et92p0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1.2.2 Регрессия k-ближайших соседей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ближайших соседей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kNN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kNearestNeighbours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регрессии. Метка, назначенная целевой переменной, вычисляется на основе среднего значения меток ее ближайших соседей.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k-ближайших соседей (k-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yjcwt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1.2.3 Случайный лес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Случайный лес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обучающей выборки размера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samplesize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м.б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 возвращением) – по ней строится дерево (для каждого дерева — своя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построения каждого расщепления в дереве просматриваем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max_features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случайных признаков (для каждого нового расщепления — свои случайные признаки).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при котором проводится расщепление.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точность дерева решений оказалось недостаточной, мы можем множество моделей собрать в коллектив. Формула итогового решателя (1.3) — это усреднение предсказаний отдельных деревьев.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4321" cy="8853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(1.3)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 – количество деревьев;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 – счетчик для деревьев;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 – решающее дерево;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 – сгенерированная нами на основе данных выборка.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случайного леса: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точность предсказания;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редко переобучается;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практически не чувствителен к выбросам в данных;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реализован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sklearn.ensemble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.RandomForestRegressor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3dy6vkm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1.2.4 Многослойный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перцептрон</w:t>
      </w:r>
      <w:proofErr w:type="spellEnd"/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Нейронная сеть — это последовательность нейронов, соединенных между собой связями. 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Персептроны пытаются имитировать функциональность человеческого мозга для решения задач. Вычислительная единица нейронной сети — нейрон или персептрон.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каждого нейрона есть определённое количество входов, куда поступают сигналы, которые суммируются с учётом значимости (веса) каждого входа. 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определяет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сигмоида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выход каждого нейрона подается на вход всем нейронам следующего слоя.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имеется: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слой — его размер соответствует входным параметрам;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скрытые слои — их количество и размерность определяем специалист;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выходной слой — его размер соответствует выходным параметрам.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обучения. Обновляются веса каждого соединения, чтобы функция потерь минимизировалась. Для обновления весов в модели используются различные оптимизаторы. Количество эпох показывает, сколько раз выполнялся проход для всех примеров обучения.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1t3h5sf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1.2.5 Метрики качества моделей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очень плохую объясняющую способность модели.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Squared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nnsnrzohmgly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EA4BCD" w:rsidRDefault="004B0241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Разведочный анализ данных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Разведочный анализ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Exploratory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— это процесс анализа данных, способствующий выдвижению гипотез, когда отсутствует представление о связи между переменными или оно недостаточно.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Важно отметить, что РА— это не набор готовых методов анализа, а философия того, как следует анализировать данные, что искать и как интерпретировать.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разведочном анализе часто используется статистическая графика — графическая техника, используемая для визуализации количественных данных.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разведочного анализа не используются для выработки управленческих решений. Их назначение — помощь в разработке наилучшей стратегии углубленного анализа, выдвижение гипотез, уточнение особенностей применения тех или иных математических методов и моделей. Без разведочного анализа углубленный анализ данных будет производиться практически «вслепую».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необходимо для того, чтобы максимизировать понимание набора данных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выявить базовую структуру;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извлечь важные переменные;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выявить выбросы и аномалии;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исходные предположения;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скупые модели;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определять оптимальные параметры.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533E" w:rsidRDefault="001853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A4BCD" w:rsidRPr="00284D35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D3512" w:rsidRDefault="00FD3512" w:rsidP="00FD35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 w:rsidP="00FD35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Общая информация 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536"/>
        <w:gridCol w:w="1276"/>
        <w:gridCol w:w="1701"/>
        <w:gridCol w:w="1270"/>
      </w:tblGrid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Dtype</w:t>
            </w:r>
            <w:proofErr w:type="spellEnd"/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Плотность, кг/м3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модуль упругости, Гпа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Содержание эпоксидных групп,%_2 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Температура вспышки, С_2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Поверхностная плотность, г/м2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Модуль упругости при растяжении,   Гпа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Потребление смолы, г/м2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Угол нашивки, град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int64  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Шаг нашивки 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Плотность нашивки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</w:tbl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Описательная статистика</w:t>
      </w:r>
    </w:p>
    <w:tbl>
      <w:tblPr>
        <w:tblStyle w:val="a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708"/>
        <w:gridCol w:w="993"/>
        <w:gridCol w:w="992"/>
        <w:gridCol w:w="992"/>
        <w:gridCol w:w="1134"/>
        <w:gridCol w:w="992"/>
        <w:gridCol w:w="993"/>
        <w:gridCol w:w="986"/>
      </w:tblGrid>
      <w:tr w:rsidR="00EA4BCD">
        <w:tc>
          <w:tcPr>
            <w:tcW w:w="1555" w:type="dxa"/>
          </w:tcPr>
          <w:p w:rsidR="00EA4BCD" w:rsidRDefault="00EA4BCD">
            <w:pPr>
              <w:spacing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mean</w:t>
            </w:r>
            <w:proofErr w:type="spellEnd"/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std</w:t>
            </w:r>
            <w:proofErr w:type="spellEnd"/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min</w:t>
            </w:r>
            <w:proofErr w:type="spellEnd"/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25%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50%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75%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max</w:t>
            </w:r>
            <w:proofErr w:type="spellEnd"/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2.930366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0.913222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0.389403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2.317887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2.906878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3.552660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5.591742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Плотность, кг/м3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1975.734888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73.729231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1731.764635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1924.155467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1977.621657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2021.374375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2207.773481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модуль упругости, ГПа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739.923233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330.231581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2.436909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500.047452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739.664328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961.812526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1911.536477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110.570769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28.295911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17.740275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92.443497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110.564840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129.730366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198.953207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Содержание эпоксидных групп,%_2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22.244390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2.406301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14.254985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20.608034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22.230744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23.961934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33.000000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Температура вспышки, С_2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285.882151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40.943260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259.066528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285.896812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313.002106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413.273418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Поверхн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. плотность, г/м2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482.731833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281.314690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0.603740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266.816645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451.864365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693.225017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1399.542362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Модуль упругости при растяжении, ГПа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73.328571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3.118983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64.054061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71.245018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73.268805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75.356612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82.682051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2466.922843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485.628006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1036.856605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2135.850448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2459.524526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2767.193119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3848.436732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Потребление смолы, г/м2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218.423144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59.735931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33.803026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179.627520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219.198882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257.481724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414.590628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Угол нашивки, град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44.252199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45.015793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90.000000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90.000000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Шаг нашивки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6.899222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2.563467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5.080033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6.916144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8.586293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14.440522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Плотность нашивки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57.153929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12.350969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49.799212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57.341920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64.944961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103.988901</w:t>
            </w:r>
          </w:p>
        </w:tc>
      </w:tr>
    </w:tbl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видим отсутствие пропусков, большой разброс значений и, следовательно, необходимость нормализации, которая будет проведена в дальнейшем, категориальную характеристику 'Угол нашивки, град', закодируем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LabelEncoder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4B0241">
      <w:pPr>
        <w:pStyle w:val="1"/>
        <w:spacing w:line="360" w:lineRule="auto"/>
        <w:jc w:val="both"/>
        <w:rPr>
          <w:b/>
        </w:rPr>
      </w:pPr>
      <w:r>
        <w:rPr>
          <w:b/>
        </w:rPr>
        <w:lastRenderedPageBreak/>
        <w:t>2. Практическая часть</w:t>
      </w:r>
    </w:p>
    <w:p w:rsidR="00EA4BCD" w:rsidRDefault="004B0241">
      <w:pPr>
        <w:pStyle w:val="2"/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m9xdibtlyf9f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Предобработка данных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Приступим к выполнению задачи по прогнозированию конечных свойств новых композиционных материалов.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Гистограммы распределения переменных, объединенные для наглядности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(для примера в тексте приведены первые две переменные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остальные находятся в коде) представлены на рис. 1, рис.2. По ним видно, что все признаки, кроме «Угол нашивки», имеют распределение близкое к нормальному и принимают неотрицательные значения.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видно наличие выбросов. Далее при предобработке данных выбросы будут удалены.</w:t>
      </w:r>
    </w:p>
    <w:p w:rsidR="00EA4BCD" w:rsidRDefault="004B024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29686" cy="3059069"/>
            <wp:effectExtent l="0" t="0" r="0" b="0"/>
            <wp:docPr id="7" name="image12.png" descr="C:\Users\User\Documents\Data sсience\ВКР\Гистограммы распределения\newpl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User\Documents\Data sсience\ВКР\Гистограммы распределения\newplot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86" cy="3059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ис. 1. Гистограмма распределения переменных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(соотношение матрица-наполнитель)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06061" cy="3258523"/>
            <wp:effectExtent l="0" t="0" r="0" b="0"/>
            <wp:docPr id="5" name="image3.png" descr="C:\Users\User\Documents\Data sсience\ВКР\Гистограммы распределения\newpl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User\Documents\Data sсience\ВКР\Гистограммы распределения\newplot (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6061" cy="3258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ис. 2. Гистограмма распределения переменных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плотность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Попробуем выявить связь между характеристиками с помощью матрицы корреляции.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4751158"/>
            <wp:effectExtent l="0" t="0" r="0" b="0"/>
            <wp:docPr id="8" name="image9.png" descr="C:\Users\User\AppData\Local\Microsoft\Windows\INetCache\Content.MSO\6CDA6396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User\AppData\Local\Microsoft\Windows\INetCache\Content.MSO\6CDA6396.tmp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EA4BC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3. Корреляционная матрица</w:t>
      </w:r>
    </w:p>
    <w:p w:rsidR="00EA4BCD" w:rsidRDefault="00EA4BCD">
      <w:pPr>
        <w:tabs>
          <w:tab w:val="left" w:pos="241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Визуализация коэффициентов корреляции выполнена с помощью тепловой карты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sns.heatmap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Видно, что все коэффициенты корреляции близки к нулю. Это означает отсутствие линейной зависимости между признаками.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Описательная статистика после нормализации </w:t>
      </w:r>
    </w:p>
    <w:tbl>
      <w:tblPr>
        <w:tblStyle w:val="a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3"/>
        <w:gridCol w:w="1002"/>
        <w:gridCol w:w="901"/>
        <w:gridCol w:w="901"/>
        <w:gridCol w:w="901"/>
        <w:gridCol w:w="901"/>
        <w:gridCol w:w="901"/>
        <w:gridCol w:w="887"/>
        <w:gridCol w:w="1018"/>
      </w:tblGrid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mean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std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min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max</w:t>
            </w:r>
            <w:proofErr w:type="spellEnd"/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Плотность, кг/м3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0.498933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0.187489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0.372274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0.494538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0.629204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модуль упругости, ГПа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0.502695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0.187779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0.368517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0.511229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0.624999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0.446764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0.199583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0.301243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0.447061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0.580446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Содержание эпоксидных групп,%_2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0.504664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0.188865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0.376190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0.506040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0.637978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Температура вспышки, С_2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0.491216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0.180620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0.367716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0.489382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0.623410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Поверхностная плотность, г/м2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0.516059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0.190624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0.386128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0.515980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0.646450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Модуль упругости при растяжении, ГПа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0.373733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0.217078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0.205619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0.354161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0.538683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0.488647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0.191466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0.359024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0.485754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0.615077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Потребление смолы, г/м2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0.495706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0.188915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0.365149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0.491825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0.612874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Угол нашивки, град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0.521141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0.195781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0.392067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0.523766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0.652447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Шаг нашивки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0.511752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0.500129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Плотность нашивки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0.502232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0.183258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0.372211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0.504258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0.624604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4B0241" w:rsidP="00FD3512">
      <w:pPr>
        <w:spacing w:after="16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Удаляем выбросы методом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межквартильных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расстояний.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64802" cy="2874874"/>
            <wp:effectExtent l="0" t="0" r="7620" b="1905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728" cy="2875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4. Распределение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удаления выбросов (соотношение матрица-наполнитель)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53734" cy="2487168"/>
            <wp:effectExtent l="0" t="0" r="0" b="8890"/>
            <wp:docPr id="10" name="image8.png" descr="C:\Users\User\Downloads\newpl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User\Downloads\newplot (1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986" cy="2491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5. Распределение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удаления выбросов (соотношение матрица-наполнитель)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pStyle w:val="2"/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nc55g514bz9n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2.2 Разработка и обучение модели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прогноза модуля упругости при растяжении и прочности при растяжении использованы модели: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Линейной регрессии;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Метод k-ближайших соседей;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- «Случайный лес»;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обучения используем 70 % данных, а для тестирования — 30 %.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Зерно генератора случайных чисел зададим постоянным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воспроизводимости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результатов обучения.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2"/>
        <w:spacing w:after="240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2s8eyo1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Тестирование моделей</w:t>
      </w:r>
    </w:p>
    <w:p w:rsidR="00EA4BCD" w:rsidRDefault="00EA4BCD"/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ошибок</w:t>
      </w:r>
      <w:r w:rsidR="00284D3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84D35" w:rsidRPr="00284D35" w:rsidRDefault="00284D35" w:rsidP="00284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05"/>
        <w:gridCol w:w="2447"/>
        <w:gridCol w:w="1266"/>
        <w:gridCol w:w="1360"/>
      </w:tblGrid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</w:tr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Linear Regression</w:t>
            </w:r>
          </w:p>
        </w:tc>
        <w:tc>
          <w:tcPr>
            <w:tcW w:w="0" w:type="auto"/>
          </w:tcPr>
          <w:p w:rsidR="00284D35" w:rsidRPr="00284D35" w:rsidRDefault="00284D35" w:rsidP="00284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Модуль</w:t>
            </w: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упругости</w:t>
            </w: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0.035074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-0.024522</w:t>
            </w:r>
          </w:p>
        </w:tc>
      </w:tr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KNeighborsRegressor</w:t>
            </w:r>
            <w:proofErr w:type="spellEnd"/>
          </w:p>
        </w:tc>
        <w:tc>
          <w:tcPr>
            <w:tcW w:w="0" w:type="auto"/>
          </w:tcPr>
          <w:p w:rsidR="00284D35" w:rsidRPr="00284D35" w:rsidRDefault="00284D35" w:rsidP="00284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Модуль упругости 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0.034788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-0.016102</w:t>
            </w:r>
          </w:p>
        </w:tc>
      </w:tr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Random</w:t>
            </w:r>
            <w:proofErr w:type="spellEnd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0" w:type="auto"/>
          </w:tcPr>
          <w:p w:rsidR="00284D35" w:rsidRPr="00284D35" w:rsidRDefault="00284D35" w:rsidP="00284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Модуль упругости 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0.034912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-0.0197</w:t>
            </w:r>
            <w:bookmarkStart w:id="14" w:name="_GoBack"/>
            <w:bookmarkEnd w:id="14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03</w:t>
            </w:r>
          </w:p>
        </w:tc>
      </w:tr>
    </w:tbl>
    <w:p w:rsidR="00EA4BCD" w:rsidRDefault="00EA4BCD">
      <w:pPr>
        <w:pStyle w:val="2"/>
        <w:rPr>
          <w:color w:val="000000"/>
          <w:sz w:val="28"/>
          <w:szCs w:val="28"/>
        </w:rPr>
      </w:pPr>
      <w:bookmarkStart w:id="15" w:name="_17dp8vu" w:colFirst="0" w:colLast="0"/>
      <w:bookmarkEnd w:id="15"/>
    </w:p>
    <w:p w:rsidR="00EA4BCD" w:rsidRDefault="004B0241">
      <w:pPr>
        <w:pStyle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jp6dkkn49m3e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Линейная регрессия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1872" cy="3208442"/>
            <wp:effectExtent l="0" t="0" r="0" b="0"/>
            <wp:docPr id="9" name="image16.png" descr="C:\Users\User\Documents\Data sсience\ВКР\Визуализация\ЛР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User\Documents\Data sсience\ВКР\Визуализация\ЛР_МУ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1872" cy="320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64088" cy="3229681"/>
            <wp:effectExtent l="0" t="0" r="0" b="0"/>
            <wp:docPr id="13" name="image10.png" descr="C:\Users\User\Documents\Data sсience\ВКР\Визуализация\ЛР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User\Documents\Data sсience\ВКР\Визуализация\ЛР_П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088" cy="3229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EA4B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Визуализация линейной регрессии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numPr>
          <w:ilvl w:val="2"/>
          <w:numId w:val="2"/>
        </w:num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3k2vvwc7h91y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 k-ближайших соседей</w:t>
      </w:r>
    </w:p>
    <w:p w:rsidR="00EA4BCD" w:rsidRDefault="00EA4BCD">
      <w:pPr>
        <w:ind w:left="1439"/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49925" cy="3058471"/>
            <wp:effectExtent l="0" t="0" r="0" b="0"/>
            <wp:docPr id="11" name="image5.png" descr="C:\Users\User\Documents\Data sсience\ВКР\Визуализация\KNR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User\Documents\Data sсience\ВКР\Визуализация\KNR_П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058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86737" cy="3640204"/>
            <wp:effectExtent l="0" t="0" r="0" b="0"/>
            <wp:docPr id="12" name="image11.png" descr="C:\Users\User\Documents\Data sсience\ВКР\Визуализация\KNR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User\Documents\Data sсience\ВКР\Визуализация\KNR_МУ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737" cy="3640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.7. Визуализация k-ближайших соседей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Style w:val="3"/>
        <w:numPr>
          <w:ilvl w:val="2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2jeqxis814yc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Случайный лес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6148" cy="3169998"/>
            <wp:effectExtent l="0" t="0" r="0" b="0"/>
            <wp:docPr id="14" name="image7.png" descr="C:\Users\User\Documents\Data sсience\ВКР\Визуализация\RF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er\Documents\Data sсience\ВКР\Визуализация\RF_МУ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148" cy="316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55729" cy="3172187"/>
            <wp:effectExtent l="0" t="0" r="0" b="0"/>
            <wp:docPr id="15" name="image13.png" descr="C:\Users\User\Documents\Data sсience\ВКР\Визуализация\RF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User\Documents\Data sсience\ВКР\Визуализация\RF_П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729" cy="317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8. Визуализация «случайный лес»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Style w:val="2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3rdcrjn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Нейронная сеть, которая будет рекомендовать соотношение матрица-наполнитель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Постоим нейронную сеть с помощью класса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keras.Sequential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следующими параметрами: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входной слой нормализации 12 признаков;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выходной слой для 1 признака;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скрытых слоев: 5;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нейронов в скрытом слое: 50, 128, 19, 64, 32;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активационная функция скрытых слоев: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оптимизатор: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-функция: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MeanSquaredError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Model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 "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sequential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"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Layer (type)                Output Shape             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#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dense</w:t>
      </w:r>
      <w:proofErr w:type="gram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(Dense)               (None, 50)                650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dropout</w:t>
      </w:r>
      <w:proofErr w:type="gram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(Dropout)           (None, 50)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dense_1 (Dense)             (None, 128)               6528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dropout_1 (Dropout)         (None, 128)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dense_2 (Dense)             (None, 19)                2451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dropout_2 (Dropout)         (None, 19)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dense_3 (Dense)             (None, 64)                1280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dropout_3 (Dropout)         (None, 64)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dense_4 (Dense)             (None, 32)                2080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dense_5 (Dense)             (None, 1)                 33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Total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params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: 13,022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Trainable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params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: 13,022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Non-trainable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params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: </w:t>
      </w:r>
      <w:proofErr w:type="gram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0</w:t>
      </w:r>
      <w:proofErr w:type="gramEnd"/>
    </w:p>
    <w:p w:rsidR="00EA4BCD" w:rsidRPr="00FD3512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</w:p>
    <w:p w:rsidR="00EA4BCD" w:rsidRPr="00FD3512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. 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Слои и конфигурация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нейросети</w:t>
      </w:r>
      <w:proofErr w:type="spellEnd"/>
    </w:p>
    <w:p w:rsidR="00FD3512" w:rsidRDefault="00FD35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следующие: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пропорция разбиения данных на тестовые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валидационные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30%;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количество эпох: 60.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183505" cy="4001770"/>
            <wp:effectExtent l="0" t="0" r="0" b="0"/>
            <wp:docPr id="16" name="image6.png" descr="C:\Users\User\AppData\Local\Microsoft\Windows\INetCache\Content.MSO\92389F47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User\AppData\Local\Microsoft\Windows\INetCache\Content.MSO\92389F47.tmp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00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10. График потерь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графику делаем вывод что для обучения спроектированной нейронной сети достаточно 10 эпох.</w:t>
      </w:r>
    </w:p>
    <w:p w:rsidR="00EA4BCD" w:rsidRDefault="004B0241">
      <w:pPr>
        <w:pStyle w:val="1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noProof/>
          <w:color w:val="000000"/>
          <w:sz w:val="28"/>
          <w:szCs w:val="28"/>
          <w:highlight w:val="white"/>
        </w:rPr>
        <w:lastRenderedPageBreak/>
        <w:drawing>
          <wp:inline distT="0" distB="0" distL="0" distR="0">
            <wp:extent cx="6255925" cy="3328035"/>
            <wp:effectExtent l="0" t="0" r="0" b="0"/>
            <wp:docPr id="17" name="image14.png" descr="C:\Users\User\AppData\Local\Microsoft\Windows\INetCache\Content.MSO\19400FED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User\AppData\Local\Microsoft\Windows\INetCache\Content.MSO\19400FED.tmp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5925" cy="3328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11. Визуализация тест/прогноз соотношения матрицы-наполнитель</w:t>
      </w:r>
    </w:p>
    <w:p w:rsidR="00EA4BCD" w:rsidRDefault="00EA4B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модели: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MSE = 0.03505013680909669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= -0.012632641827147184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Любопытства ради была запущена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тремя скрытыми слоями; нейронов в скрытом слое: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50,  19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32; активационная функция скрытых слоев: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Отличий невооруженным взглядом обнаружить не удалось.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неудовлетворительны.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</w:p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4B0241">
      <w:pPr>
        <w:pStyle w:val="1"/>
        <w:rPr>
          <w:b/>
        </w:rPr>
      </w:pPr>
      <w:r>
        <w:rPr>
          <w:b/>
        </w:rPr>
        <w:lastRenderedPageBreak/>
        <w:t xml:space="preserve">Заключение 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работы было выполнено: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изучение теоретических методов анализа данных и машинного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обучения;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разведочный анализ данных;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предобработка данных;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построение регрессионных моделей;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визуализация модели и оценка качества прогноза.</w:t>
      </w:r>
    </w:p>
    <w:p w:rsidR="00EA4BCD" w:rsidRDefault="00EA4BC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Использованные при разработке моделей подходы не позволили получить достоверных прогнозов.</w:t>
      </w:r>
    </w:p>
    <w:p w:rsidR="00EA4BCD" w:rsidRDefault="004B0241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  <w:r>
        <w:br w:type="page"/>
      </w:r>
    </w:p>
    <w:p w:rsidR="00EA4BCD" w:rsidRDefault="00EA4BCD">
      <w:pPr>
        <w:pStyle w:val="1"/>
        <w:rPr>
          <w:b/>
        </w:rPr>
      </w:pPr>
      <w:bookmarkStart w:id="20" w:name="_c3xhlhgh44qz" w:colFirst="0" w:colLast="0"/>
      <w:bookmarkEnd w:id="20"/>
    </w:p>
    <w:p w:rsidR="00EA4BCD" w:rsidRDefault="004B0241">
      <w:pPr>
        <w:pStyle w:val="1"/>
        <w:ind w:firstLine="720"/>
        <w:rPr>
          <w:b/>
        </w:rPr>
      </w:pPr>
      <w:bookmarkStart w:id="21" w:name="_lnxbz9" w:colFirst="0" w:colLast="0"/>
      <w:bookmarkEnd w:id="21"/>
      <w:r>
        <w:rPr>
          <w:b/>
        </w:rPr>
        <w:t>Список литературы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Д.А. Иванов А.И., Ситников, С.Д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Шляпин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Композиционные материалы: учебное пособие для вузов, 2019. 13 с.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Силен Дэви,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Мейсман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Мохамед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Основы</w:t>
      </w:r>
      <w:r w:rsidRPr="00FD35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Data Science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D35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Big Data.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наука о данных. – СПб.: Питер, 2017. – 336 с.: ил.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ГрасД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Наука о данных с нуля: Пер. с англ. - 2-е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перераб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доп. - СПб.: БХВ-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Петербурr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2021. - 416 с.: ил.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Гафаров, Ф.М.,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Галимянов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А.Ф. Искусственные нейронные сети и приложения: учеб. пособие /Ф.М. Гафаров, А.Ф.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Галимянов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– Казань: Издательство Казанского университета, 2018. – 121 с.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5 алгоритмов регрессии в машинном обучении, о которых вам следует знать: – Режим доступа: https://habr.com/ru/company/vk/blog/513842/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spacing w:line="360" w:lineRule="auto"/>
      </w:pPr>
    </w:p>
    <w:p w:rsidR="00EA4BCD" w:rsidRDefault="00EA4BCD">
      <w:pPr>
        <w:spacing w:line="360" w:lineRule="auto"/>
      </w:pPr>
    </w:p>
    <w:sectPr w:rsidR="00EA4BCD">
      <w:headerReference w:type="default" r:id="rId23"/>
      <w:footerReference w:type="default" r:id="rId24"/>
      <w:pgSz w:w="11906" w:h="16838"/>
      <w:pgMar w:top="1134" w:right="1701" w:bottom="1134" w:left="85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94" w:rsidRDefault="00494A94">
      <w:pPr>
        <w:spacing w:line="240" w:lineRule="auto"/>
      </w:pPr>
      <w:r>
        <w:separator/>
      </w:r>
    </w:p>
  </w:endnote>
  <w:endnote w:type="continuationSeparator" w:id="0">
    <w:p w:rsidR="00494A94" w:rsidRDefault="00494A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460" w:rsidRDefault="000704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F3B29">
      <w:rPr>
        <w:noProof/>
        <w:color w:val="000000"/>
      </w:rPr>
      <w:t>24</w:t>
    </w:r>
    <w:r>
      <w:rPr>
        <w:color w:val="000000"/>
      </w:rPr>
      <w:fldChar w:fldCharType="end"/>
    </w:r>
  </w:p>
  <w:p w:rsidR="00070460" w:rsidRDefault="000704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94" w:rsidRDefault="00494A94">
      <w:pPr>
        <w:spacing w:line="240" w:lineRule="auto"/>
      </w:pPr>
      <w:r>
        <w:separator/>
      </w:r>
    </w:p>
  </w:footnote>
  <w:footnote w:type="continuationSeparator" w:id="0">
    <w:p w:rsidR="00494A94" w:rsidRDefault="00494A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460" w:rsidRDefault="00070460">
    <w:pPr>
      <w:jc w:val="right"/>
    </w:pPr>
    <w:r>
      <w:rPr>
        <w:noProof/>
      </w:rPr>
      <w:drawing>
        <wp:inline distT="114300" distB="114300" distL="114300" distR="114300">
          <wp:extent cx="2724150" cy="742950"/>
          <wp:effectExtent l="0" t="0" r="0" b="0"/>
          <wp:docPr id="1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53624"/>
    <w:multiLevelType w:val="multilevel"/>
    <w:tmpl w:val="6C1259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lvlText w:val="%1.%2"/>
      <w:lvlJc w:val="left"/>
      <w:pPr>
        <w:ind w:left="1359" w:hanging="645"/>
      </w:pPr>
      <w:rPr>
        <w:color w:val="000000"/>
      </w:rPr>
    </w:lvl>
    <w:lvl w:ilvl="2">
      <w:start w:val="2"/>
      <w:numFmt w:val="decimal"/>
      <w:lvlText w:val="%1.%2.%3"/>
      <w:lvlJc w:val="left"/>
      <w:pPr>
        <w:ind w:left="1439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804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809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2174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2179" w:hanging="144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2544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2909" w:hanging="2160"/>
      </w:pPr>
      <w:rPr>
        <w:color w:val="000000"/>
      </w:rPr>
    </w:lvl>
  </w:abstractNum>
  <w:abstractNum w:abstractNumId="1" w15:restartNumberingAfterBreak="0">
    <w:nsid w:val="4715317D"/>
    <w:multiLevelType w:val="multilevel"/>
    <w:tmpl w:val="6B063FB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2367CE"/>
    <w:multiLevelType w:val="multilevel"/>
    <w:tmpl w:val="2C3E9D8E"/>
    <w:lvl w:ilvl="0">
      <w:start w:val="1"/>
      <w:numFmt w:val="bullet"/>
      <w:lvlText w:val="−"/>
      <w:lvlJc w:val="left"/>
      <w:pPr>
        <w:ind w:left="170" w:firstLine="53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340" w:hanging="17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−"/>
      <w:lvlJc w:val="left"/>
      <w:pPr>
        <w:ind w:left="510" w:hanging="17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−"/>
      <w:lvlJc w:val="left"/>
      <w:pPr>
        <w:ind w:left="680" w:hanging="17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−"/>
      <w:lvlJc w:val="left"/>
      <w:pPr>
        <w:ind w:left="850" w:hanging="17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−"/>
      <w:lvlJc w:val="left"/>
      <w:pPr>
        <w:ind w:left="1020" w:hanging="17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−"/>
      <w:lvlJc w:val="left"/>
      <w:pPr>
        <w:ind w:left="1191" w:hanging="17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−"/>
      <w:lvlJc w:val="left"/>
      <w:pPr>
        <w:ind w:left="1361" w:hanging="17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−"/>
      <w:lvlJc w:val="left"/>
      <w:pPr>
        <w:ind w:left="1531" w:hanging="17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5C61CFA"/>
    <w:multiLevelType w:val="multilevel"/>
    <w:tmpl w:val="AFD4E77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2E5A85"/>
    <w:multiLevelType w:val="multilevel"/>
    <w:tmpl w:val="C3400D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01D2A"/>
    <w:multiLevelType w:val="multilevel"/>
    <w:tmpl w:val="FD0443C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BCD"/>
    <w:rsid w:val="00070460"/>
    <w:rsid w:val="0018533E"/>
    <w:rsid w:val="00284D35"/>
    <w:rsid w:val="00494A94"/>
    <w:rsid w:val="004B0241"/>
    <w:rsid w:val="00BF3B29"/>
    <w:rsid w:val="00D0152E"/>
    <w:rsid w:val="00EA4BCD"/>
    <w:rsid w:val="00FD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08631"/>
  <w15:docId w15:val="{5A5C5B0E-CE71-4DDF-B272-FA234D6F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8">
    <w:name w:val="Table Grid"/>
    <w:basedOn w:val="a1"/>
    <w:uiPriority w:val="39"/>
    <w:rsid w:val="00284D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29</Pages>
  <Words>4026</Words>
  <Characters>22951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Колесников Анатолий</dc:creator>
  <cp:lastModifiedBy>Пользователь</cp:lastModifiedBy>
  <cp:revision>3</cp:revision>
  <dcterms:created xsi:type="dcterms:W3CDTF">2023-04-25T20:41:00Z</dcterms:created>
  <dcterms:modified xsi:type="dcterms:W3CDTF">2023-04-30T15:41:00Z</dcterms:modified>
</cp:coreProperties>
</file>