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en-US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en-US"/>
        </w:rPr>
        <w:t>4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Параметризованные</w:t>
      </w:r>
      <w:r>
        <w:rPr>
          <w:rFonts w:hint="default"/>
          <w:lang w:val="ru-RU"/>
        </w:rPr>
        <w:t xml:space="preserve"> классы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3b6be7c1-62d1-4071-8f1a-0f1abfb2d07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Код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8a31417b-5a9a-4c4f-904c-7f5d1627399e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вопросы...........................................................................................12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rFonts w:hint="default"/>
          <w:lang w:val="ru-RU"/>
        </w:rPr>
        <w:t>Изучить механизм параметрического полиморфизма на основе создания и использования параметризованных классов.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параметризованный класс «Матрица», типы элементов которого могут быть заданы в соответствии с вариантом: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Классы</w:t>
      </w:r>
      <w:r>
        <w:rPr>
          <w:rFonts w:hint="default"/>
          <w:lang w:val="ru-RU"/>
        </w:rPr>
        <w:t xml:space="preserve"> и возможные действия над классами</w:t>
      </w:r>
    </w:p>
    <w:tbl>
      <w:tblPr>
        <w:tblStyle w:val="12"/>
        <w:tblW w:w="9739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032"/>
        <w:gridCol w:w="960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936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1032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Тип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1</w:t>
            </w:r>
          </w:p>
        </w:tc>
        <w:tc>
          <w:tcPr>
            <w:tcW w:w="960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Тип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2</w:t>
            </w:r>
          </w:p>
        </w:tc>
        <w:tc>
          <w:tcPr>
            <w:tcW w:w="6811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Возможности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936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1032" w:type="dxa"/>
            <w:textDirection w:val="btLr"/>
            <w:vAlign w:val="center"/>
          </w:tcPr>
          <w:p>
            <w:pPr>
              <w:pStyle w:val="31"/>
              <w:widowControl w:val="0"/>
              <w:spacing w:before="0" w:after="0"/>
              <w:ind w:left="113" w:right="113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Вектор в декартовой системе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N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координат</w:t>
            </w:r>
          </w:p>
        </w:tc>
        <w:tc>
          <w:tcPr>
            <w:tcW w:w="960" w:type="dxa"/>
            <w:textDirection w:val="btLr"/>
            <w:vAlign w:val="center"/>
          </w:tcPr>
          <w:p>
            <w:pPr>
              <w:pStyle w:val="31"/>
              <w:widowControl w:val="0"/>
              <w:spacing w:before="0" w:after="0"/>
              <w:ind w:left="113" w:right="113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Вектор в полярных координатах</w:t>
            </w:r>
          </w:p>
        </w:tc>
        <w:tc>
          <w:tcPr>
            <w:tcW w:w="6811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Разность двух матриц и присвоение результата третьей переменной-матрице осуществляется одной строкой С = А - В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numPr>
          <w:ilvl w:val="0"/>
          <w:numId w:val="0"/>
        </w:num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  <w:bookmarkStart w:id="2" w:name="_GoBack"/>
      <w:bookmarkEnd w:id="2"/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 помощи механизма инкапсуляции был описан объект реального мира (шахматная доска) и реализованы методы работы с ним.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numPr>
          <w:ilvl w:val="0"/>
          <w:numId w:val="0"/>
        </w:numPr>
      </w:pPr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3FC3"/>
    <w:rsid w:val="10AF4944"/>
    <w:rsid w:val="162614DA"/>
    <w:rsid w:val="3B792220"/>
    <w:rsid w:val="3CF23084"/>
    <w:rsid w:val="4D560480"/>
    <w:rsid w:val="51B16635"/>
    <w:rsid w:val="72176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qFormat/>
    <w:uiPriority w:val="0"/>
    <w:rPr>
      <w:rFonts w:cs="Lohit Devanagari"/>
    </w:r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6be7c1-62d1-4071-8f1a-0f1abfb2d07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be7c1-62d1-4071-8f1a-0f1abfb2d07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a31417b-5a9a-4c4f-904c-7f5d162739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1417b-5a9a-4c4f-904c-7f5d1627399e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1</TotalTime>
  <ScaleCrop>false</ScaleCrop>
  <LinksUpToDate>false</LinksUpToDate>
  <CharactersWithSpaces>1331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2022-09-30T19:42:33Z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66BCE017F5604C308FCADAAD986A347C</vt:lpwstr>
  </property>
</Properties>
</file>