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272D"/>
          <w:sz w:val="40"/>
          <w:szCs w:val="40"/>
        </w:rPr>
        <w:t xml:space="preserve">Panel de Rendición de Gastos</w:t>
      </w:r>
    </w:p>
    <w:p>
      <w:pPr>
        <w:spacing w:after="300"/>
        <w:jc w:val="center"/>
      </w:pPr>
      <w:r>
        <w:rPr>
          <w:color w:val="666666"/>
          <w:sz w:val="26"/>
          <w:szCs w:val="26"/>
        </w:rPr>
        <w:t xml:space="preserve">Manual de uso para el equipo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¿Qué es esto?</w:t>
      </w:r>
    </w:p>
    <w:p>
      <w:pPr>
        <w:spacing w:after="120"/>
      </w:pPr>
      <w:r>
        <w:t xml:space="preserve">Es un panel guiado (un solo archivo HTML) que reemplaza la carga manual del Excel de rendición de gastos. Se completa paso a paso, en lenguaje simple, y al final genera el mismo Excel oficial que ya usa Tesorería — ya completo, con las fórmulas y validaciones intactas.</w:t>
      </w:r>
    </w:p>
    <w:p>
      <w:pPr>
        <w:spacing w:after="120"/>
      </w:pPr>
      <w:r>
        <w:t xml:space="preserve">Funciona sin internet: se abre en cualquier navegador (Chrome, Edge) y no necesita instalar nada.</w:t>
      </w:r>
    </w:p>
    <w:p>
      <w:pPr>
        <w:pBdr>
          <w:left w:val="single" w:color="C0272D" w:sz="18" w:space="8"/>
        </w:pBdr>
        <w:spacing w:after="160" w:before="100"/>
      </w:pPr>
      <w:r>
        <w:rPr>
          <w:i/>
          <w:iCs/>
          <w:color w:val="666666"/>
        </w:rPr>
        <w:t xml:space="preserve">Importante: descargá el archivo a tu computadora y abrilo desde ahí con doble clic. Si lo intentás abrir directo desde un mail o el navegador sin descargarlo, puede no cargar bien.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Antes de empezar: elegí el tipo de rendición</w:t>
      </w:r>
    </w:p>
    <w:p>
      <w:pPr>
        <w:spacing w:after="120"/>
      </w:pPr>
      <w:r>
        <w:t xml:space="preserve">Lo primero que vas a ver es una pregunta: si la rendición es en pesos (ARS) o en moneda extranjera (viajes, USD/EUR/etc.). Una rendición es de un solo tipo de moneda.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tenés gastos de los dos tipos, hacé dos rendiciones separadas (una en ARS y otra en moneda extranjera).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 elección define qué hoja del Excel se completa, así que conviene tenerla clara antes de empezar a cargar gastos.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Paso 1 — Datos generales</w:t>
      </w:r>
    </w:p>
    <w:p>
      <w:pPr>
        <w:spacing w:after="120"/>
      </w:pPr>
      <w:r>
        <w:t xml:space="preserve">Se completan una sola vez por rendición: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Empresa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de rendición (si es tu primera vez con el panel, dejá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 y apellido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Iniciales (2 o 3 letras, ej: Juan Pérez → JP)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 del viaje/gasto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Concepto general de la rendición (un resumen corto)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 de cambio general — solo si elegiste "moneda extranjera"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Paso 2 — Cargar los gastos</w:t>
      </w:r>
    </w:p>
    <w:p>
      <w:pPr>
        <w:spacing w:after="120"/>
      </w:pPr>
      <w:r>
        <w:t xml:space="preserve">Se agrega un gasto por vez con el botón "+ Agregar otro gasto". Por cada uno: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Indicá si es de un file/proyecto específico o un gasto general. Si es de un file, no hace falta elegir "tipo de gasto" — se clasifica solo como "Costo de file".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Completá fecha, proveedor/razón social y forma de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rendición es en ARS: CUIT del proveedor, tipo de factura, importe neto e IVA (o marcá "no tengo comprobante válido" si corresponde).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rendición es en moneda extranjera: concepto, moneda de la transacción, importe original y tipo de cambio a dólares.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Adjuntá una foto o escaneo del comprobante con el botón correspondiente. Se guarda dentro del Excel, ya en la hoja de comprobantes que le corresponde ("cmptes en ARS" o "cmptes en otras monedas"), lista para Tesorería.</w:t>
      </w:r>
    </w:p>
    <w:p>
      <w:pPr>
        <w:spacing w:after="120"/>
      </w:pPr>
      <w:r>
        <w:t xml:space="preserve">El panel avisa en el momento si un dato no tiene el formato correcto (por ejemplo, CUIT inválido o número de file mal escrito).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Paso 3 — Revisar y generar</w:t>
      </w:r>
    </w:p>
    <w:p>
      <w:pPr>
        <w:spacing w:after="120"/>
      </w:pPr>
      <w:r>
        <w:t xml:space="preserve">Se muestra un resumen de todo lo cargado. Al confirmar, se descarga automáticamente el archivo Excel, ya completo y con el nombre correcto, listo para mandar a Tesorería tal como se hace siempre.</w:t>
      </w:r>
    </w:p>
    <w:p>
      <w:pPr>
        <w:pStyle w:val="Heading1"/>
        <w:spacing w:after="120" w:before="240"/>
      </w:pPr>
      <w:r>
        <w:rPr>
          <w:b/>
          <w:bCs/>
          <w:color w:val="C0272D"/>
        </w:rPr>
        <w:t xml:space="preserve">Preguntas frecuentes</w:t>
      </w:r>
    </w:p>
    <w:p>
      <w:pPr>
        <w:pStyle w:val="Heading2"/>
        <w:spacing w:after="100" w:before="200"/>
      </w:pPr>
      <w:r>
        <w:rPr>
          <w:b/>
          <w:bCs/>
        </w:rPr>
        <w:t xml:space="preserve">¿Puedo cargar gastos en ARS y en moneda extranjera en la misma rendición?</w:t>
      </w:r>
    </w:p>
    <w:p>
      <w:pPr>
        <w:spacing w:after="120"/>
      </w:pPr>
      <w:r>
        <w:t xml:space="preserve">No. Cada rendición es de un solo tipo. Si necesitás los dos, generá dos archivos.</w:t>
      </w:r>
    </w:p>
    <w:p>
      <w:pPr>
        <w:pStyle w:val="Heading2"/>
        <w:spacing w:after="100" w:before="200"/>
      </w:pPr>
      <w:r>
        <w:rPr>
          <w:b/>
          <w:bCs/>
        </w:rPr>
        <w:t xml:space="preserve">¿Hasta cuántos gastos por rendición?</w:t>
      </w:r>
    </w:p>
    <w:p>
      <w:pPr>
        <w:spacing w:after="120"/>
      </w:pPr>
      <w:r>
        <w:t xml:space="preserve">60 comprobantes por rendición (es el límite de la plantilla oficial).</w:t>
      </w:r>
    </w:p>
    <w:p>
      <w:pPr>
        <w:pStyle w:val="Heading2"/>
        <w:spacing w:after="100" w:before="200"/>
      </w:pPr>
      <w:r>
        <w:rPr>
          <w:b/>
          <w:bCs/>
        </w:rPr>
        <w:t xml:space="preserve">Perdí lo que había cargado, ¿qué hago?</w:t>
      </w:r>
    </w:p>
    <w:p>
      <w:pPr>
        <w:spacing w:after="120"/>
      </w:pPr>
      <w:r>
        <w:t xml:space="preserve">El panel no guarda nada mientras lo tenés abierto en la pestaña del navegador; si la cerrás sin generar el Excel, se pierde. Conviene generar el archivo antes de cerrar la pestaña.</w:t>
      </w:r>
    </w:p>
    <w:p>
      <w:pPr>
        <w:pStyle w:val="Heading2"/>
        <w:spacing w:after="100" w:before="200"/>
      </w:pPr>
      <w:r>
        <w:rPr>
          <w:b/>
          <w:bCs/>
        </w:rPr>
        <w:t xml:space="preserve">¿A quién le aviso si algo no funciona como espera?</w:t>
      </w:r>
    </w:p>
    <w:p>
      <w:pPr>
        <w:spacing w:after="120"/>
      </w:pPr>
      <w:r>
        <w:t xml:space="preserve">A Valentina Homez (valentina.homez@eurotur.tur.ar).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2026-07-29T15:40:43.218Z</dcterms:created>
  <dcterms:modified xsi:type="dcterms:W3CDTF">2026-07-29T15:40:43.218Z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