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4472C4"/>
          <w:sz w:val="40"/>
        </w:rPr>
        <w:t>Final Self-Reflection</w:t>
      </w:r>
    </w:p>
    <w:p>
      <w:pPr>
        <w:spacing w:before="0" w:after="40"/>
        <w:jc w:val="center"/>
      </w:pPr>
      <w:r>
        <w:rPr>
          <w:rFonts w:ascii="Calibri" w:hAnsi="Calibri"/>
          <w:b w:val="0"/>
          <w:i/>
          <w:sz w:val="26"/>
        </w:rPr>
        <w:t>S.I.R.E. — Simulated Incident Response Environment</w:t>
      </w:r>
    </w:p>
    <w:p>
      <w:pPr>
        <w:spacing w:before="0" w:after="40"/>
        <w:jc w:val="center"/>
      </w:pPr>
      <w:r>
        <w:rPr>
          <w:rFonts w:ascii="Calibri" w:hAnsi="Calibri"/>
          <w:b w:val="0"/>
          <w:i w:val="0"/>
          <w:sz w:val="22"/>
        </w:rPr>
        <w:t>PROG 3300: Integrated Projects for Programming</w:t>
      </w:r>
    </w:p>
    <w:p>
      <w:pPr>
        <w:spacing w:before="0" w:after="40"/>
        <w:jc w:val="center"/>
      </w:pPr>
      <w:r>
        <w:rPr>
          <w:rFonts w:ascii="Calibri" w:hAnsi="Calibri"/>
          <w:b/>
          <w:i w:val="0"/>
          <w:sz w:val="22"/>
        </w:rPr>
        <w:t>Thomas (Tom) Burchell  |  Backend Architecture &amp; Real-Time Systems</w:t>
      </w:r>
    </w:p>
    <w:p>
      <w:pPr>
        <w:spacing w:before="0" w:after="160"/>
        <w:jc w:val="center"/>
      </w:pPr>
      <w:r>
        <w:rPr>
          <w:rFonts w:ascii="Calibri" w:hAnsi="Calibri"/>
          <w:b w:val="0"/>
          <w:i/>
          <w:sz w:val="20"/>
        </w:rPr>
        <w:t>Submitted: April 2026</w:t>
      </w:r>
    </w:p>
    <w:p>
      <w:pPr>
        <w:spacing w:before="0" w:after="0"/>
        <w:pBdr>
          <w:bottom w:val="single" w:sz="6" w:space="1" w:color="4472C4"/>
        </w:pBdr>
      </w:pPr>
    </w:p>
    <w:p>
      <w:pPr>
        <w:keepNext/>
        <w:spacing w:before="280" w:after="80"/>
      </w:pPr>
      <w:r>
        <w:rPr>
          <w:rFonts w:ascii="Calibri" w:hAnsi="Calibri"/>
          <w:b/>
          <w:i w:val="0"/>
          <w:color w:val="4472C4"/>
          <w:sz w:val="26"/>
        </w:rPr>
        <w:t>1.  Description of Individual Contribution</w:t>
      </w:r>
      <w:r>
        <w:rPr>
          <w:rFonts w:ascii="Calibri" w:hAnsi="Calibri"/>
          <w:b w:val="0"/>
          <w:i/>
          <w:color w:val="828282"/>
          <w:sz w:val="20"/>
        </w:rPr>
        <w:t xml:space="preserve">   [4 / 4 points]</w:t>
      </w:r>
    </w:p>
    <w:p>
      <w:pPr>
        <w:spacing w:before="0" w:after="0"/>
        <w:pBdr>
          <w:bottom w:val="single" w:sz="6" w:space="1" w:color="BDD7EE"/>
        </w:pBdr>
      </w:pPr>
    </w:p>
    <w:p>
      <w:pPr>
        <w:spacing w:before="0" w:after="160"/>
      </w:pPr>
      <w:r>
        <w:rPr>
          <w:rFonts w:ascii="Calibri" w:hAnsi="Calibri"/>
          <w:b w:val="0"/>
          <w:i w:val="0"/>
          <w:sz w:val="22"/>
        </w:rPr>
        <w:t>My role in the S.I.R.E. project was Backend Architecture &amp; Real-Time Systems. I was solely responsible for the design, implementation, and deployment of the server-side application—the layer that makes real-time, multi-user incident-response training technically possible.</w:t>
      </w:r>
    </w:p>
    <w:p>
      <w:pPr>
        <w:spacing w:before="0" w:after="160"/>
      </w:pPr>
      <w:r>
        <w:rPr>
          <w:rFonts w:ascii="Calibri" w:hAnsi="Calibri"/>
          <w:b w:val="0"/>
          <w:i w:val="0"/>
          <w:sz w:val="22"/>
        </w:rPr>
        <w:t>I built the full Express REST API, including all session-management endpoints (create, join, and end session) and a security configuration module that conditionally enforces API-key authentication. This allowed the application to operate in an open development mode while remaining lockable for production. I also ensured the /api/health endpoint was registered upstream of any authentication middleware so that Render's automated health checker could always reach it—a deliberate architectural decision that prevented deployment failures during initial roll-out.</w:t>
      </w:r>
    </w:p>
    <w:p>
      <w:pPr>
        <w:spacing w:before="0" w:after="160"/>
      </w:pPr>
      <w:r>
        <w:rPr>
          <w:rFonts w:ascii="Calibri" w:hAnsi="Calibri"/>
          <w:b w:val="0"/>
          <w:i w:val="0"/>
          <w:sz w:val="22"/>
        </w:rPr>
        <w:t>I designed and implemented the Socket.IO real-time layer under the /sim namespace, defining the complete event protocol: session lifecycle events (session:join, session:joined, session:end), escalation ticks (timeline:tick), instructor injections (admin:inject), and trainee action broadcasts (event:log / event:log:broadcast). Roster state is delivered as part of the session:joined payload rather than as a separate event, keeping join confirmation and roster synchronisation atomic. I used Socket.IO rooms to guarantee full isolation between concurrent sessions.</w:t>
      </w:r>
    </w:p>
    <w:p>
      <w:pPr>
        <w:spacing w:before="0" w:after="160"/>
      </w:pPr>
      <w:r>
        <w:rPr>
          <w:rFonts w:ascii="Calibri" w:hAnsi="Calibri"/>
          <w:b w:val="0"/>
          <w:i w:val="0"/>
          <w:sz w:val="22"/>
        </w:rPr>
        <w:t>I built the scenario escalation engine—a timer-driven state machine that reads each scenario's JSON definition and automatically advances through escalation phases at the correct intervals, broadcasting timeline:tick events to all connected participants without requiring instructor interaction. The engine exposes start and stop controls and was designed to be stateless per tick, avoiding accumulated side effects across the escalation sequence.</w:t>
      </w:r>
    </w:p>
    <w:p>
      <w:pPr>
        <w:spacing w:before="0" w:after="160"/>
      </w:pPr>
      <w:r>
        <w:rPr>
          <w:rFonts w:ascii="Calibri" w:hAnsi="Calibri"/>
          <w:b w:val="0"/>
          <w:i w:val="0"/>
          <w:sz w:val="22"/>
        </w:rPr>
        <w:t>Finally, I owned the entire cloud deployment pipeline. I authored the render.yaml Blueprint that provisions both the backend Node service and the frontend static site in a single operation. VITE_API_BASE is wired automatically via a fromService reference to the backend service URL, while ALLOWED_ORIGINS on the backend is set to the known frontend origin. I also wrote the Deployment Guide and Cloud Deployment Quickstart so that the environment could be reproduced reliably by anyone on the team or any future maintainer.</w:t>
      </w:r>
    </w:p>
    <w:p>
      <w:pPr>
        <w:keepNext/>
        <w:spacing w:before="280" w:after="80"/>
      </w:pPr>
      <w:r>
        <w:rPr>
          <w:rFonts w:ascii="Calibri" w:hAnsi="Calibri"/>
          <w:b/>
          <w:i w:val="0"/>
          <w:color w:val="4472C4"/>
          <w:sz w:val="26"/>
        </w:rPr>
        <w:t>2.  Reflection on Learning and Experience</w:t>
      </w:r>
      <w:r>
        <w:rPr>
          <w:rFonts w:ascii="Calibri" w:hAnsi="Calibri"/>
          <w:b w:val="0"/>
          <w:i/>
          <w:color w:val="828282"/>
          <w:sz w:val="20"/>
        </w:rPr>
        <w:t xml:space="preserve">   [4 / 4 points]</w:t>
      </w:r>
    </w:p>
    <w:p>
      <w:pPr>
        <w:spacing w:before="0" w:after="0"/>
        <w:pBdr>
          <w:bottom w:val="single" w:sz="6" w:space="1" w:color="BDD7EE"/>
        </w:pBdr>
      </w:pPr>
    </w:p>
    <w:p>
      <w:pPr>
        <w:spacing w:before="0" w:after="160"/>
      </w:pPr>
      <w:r>
        <w:rPr>
          <w:rFonts w:ascii="Calibri" w:hAnsi="Calibri"/>
          <w:b w:val="0"/>
          <w:i w:val="0"/>
          <w:sz w:val="22"/>
        </w:rPr>
        <w:t>This project represents the most technically complex work I have completed during my academic program, and it produced meaningful growth across three areas: technical depth, professional judgment, and process discipline.</w:t>
      </w:r>
    </w:p>
    <w:p>
      <w:pPr>
        <w:spacing w:before="0" w:after="160"/>
      </w:pPr>
      <w:r>
        <w:rPr>
          <w:rFonts w:ascii="Calibri" w:hAnsi="Calibri"/>
          <w:b w:val="0"/>
          <w:i w:val="0"/>
          <w:sz w:val="22"/>
        </w:rPr>
        <w:t>From a technical standpoint, I entered this project with solid REST API knowledge but limited hands-on experience with bidirectional real-time systems at scale. Designing the Socket.IO event protocol from scratch required me to reason carefully about state ownership—determining who holds authoritative session state, how clients should recover gracefully from reconnections, and how to prevent race conditions when multiple trainees submit decisions within the same escalation window. These challenges pushed me well beyond tutorial-level understanding and gave me a rigorous, practical mental model of distributed state management. Cloud deployment similarly deepened my skills: navigating Render's Blueprint specification, diagnosing CORS failures in a two-service architecture, and distinguishing internal service hostnames from public-facing URLs were all lessons learned through real failures, root-cause analysis, and iterative fixes.</w:t>
      </w:r>
    </w:p>
    <w:p>
      <w:pPr>
        <w:spacing w:before="0" w:after="160"/>
      </w:pPr>
      <w:r>
        <w:rPr>
          <w:rFonts w:ascii="Calibri" w:hAnsi="Calibri"/>
          <w:b w:val="0"/>
          <w:i w:val="0"/>
          <w:sz w:val="22"/>
        </w:rPr>
        <w:t>In terms of professional judgment, the most significant lesson I took from this project was learning when not to build a feature. Midway through development I recognized that adding Redis-backed horizontal scaling—originally on the wishlist—would consume more time than its value justified for our single-server deployment target. I made the call to defer it, redirecting those two weeks toward documentation quality and end-to-end testing. That trade-off paid off: the deliverable was more polished and better evidenced as a result. Internalizing that scope discipline is a form of technical leadership, not a compromise, was a formative shift in how I approach project planning.</w:t>
      </w:r>
    </w:p>
    <w:p>
      <w:pPr>
        <w:spacing w:before="0" w:after="160"/>
      </w:pPr>
      <w:r>
        <w:rPr>
          <w:rFonts w:ascii="Calibri" w:hAnsi="Calibri"/>
          <w:b w:val="0"/>
          <w:i w:val="0"/>
          <w:sz w:val="22"/>
        </w:rPr>
        <w:t>Process-wise, the area I would improve most in a future project is moving integration testing earlier. I did not write tests against the Socket.IO layer until late in the project cycle, which meant that subtle event-ordering bugs surfaced during system testing rather than during development. Catching those issues in week three rather than week ten would have been dramatically less expensive—both in debugging time and in the stress of last-minute fixes. Establishing a real-time integration test harness from the outset is the single highest-priority improvement I am carrying into every subsequent project.</w:t>
      </w:r>
    </w:p>
    <w:p>
      <w:pPr>
        <w:spacing w:before="0" w:after="160"/>
      </w:pPr>
      <w:r>
        <w:rPr>
          <w:rFonts w:ascii="Calibri" w:hAnsi="Calibri"/>
          <w:b w:val="0"/>
          <w:i w:val="0"/>
          <w:sz w:val="22"/>
        </w:rPr>
        <w:t>Overall, the S.I.R.E. project confirmed that I am capable of owning and delivering a complex, production-grade backend system end-to-end. It also revealed clear areas for continued growth—particularly in test-driven development and in proactive risk communication—that I intend to address deliberately going forward.</w:t>
      </w:r>
    </w:p>
    <w:p>
      <w:pPr>
        <w:spacing w:before="0" w:after="0"/>
        <w:pBdr>
          <w:bottom w:val="single" w:sz="6" w:space="1" w:color="4472C4"/>
        </w:pBdr>
      </w:pPr>
    </w:p>
    <w:p>
      <w:pPr>
        <w:spacing w:before="80" w:after="0"/>
        <w:jc w:val="center"/>
      </w:pPr>
      <w:r>
        <w:rPr>
          <w:rFonts w:ascii="Calibri" w:hAnsi="Calibri"/>
          <w:b w:val="0"/>
          <w:i/>
          <w:color w:val="828282"/>
          <w:sz w:val="18"/>
        </w:rPr>
        <w:t>Writing Quality &amp; Clarity is assessed holistically across the document as a whole (rubric criterion, 2 points).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