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F116" w14:textId="7FE16CE9" w:rsidR="006A56EB" w:rsidRPr="00742B9D" w:rsidRDefault="00742B9D" w:rsidP="00742B9D">
      <w:pPr>
        <w:spacing w:line="460" w:lineRule="exact"/>
        <w:ind w:left="583" w:right="583"/>
        <w:jc w:val="center"/>
        <w:rPr>
          <w:rFonts w:ascii="Bookman Old Style" w:eastAsia="Arial" w:hAnsi="Bookman Old Style" w:cs="Arial"/>
          <w:sz w:val="32"/>
          <w:szCs w:val="32"/>
          <w:lang w:val="es-CO"/>
        </w:rPr>
      </w:pPr>
      <w:r w:rsidRPr="00742B9D">
        <w:rPr>
          <w:rFonts w:ascii="Bookman Old Style" w:eastAsia="Arial" w:hAnsi="Bookman Old Style" w:cs="Arial"/>
          <w:b/>
          <w:position w:val="-2"/>
          <w:sz w:val="32"/>
          <w:szCs w:val="32"/>
          <w:lang w:val="es-CO"/>
        </w:rPr>
        <w:t>INFORME DE ANÁLISIS DE EVASIÓN DE CLIENTES</w:t>
      </w:r>
      <w:r>
        <w:rPr>
          <w:rFonts w:ascii="Bookman Old Style" w:eastAsia="Arial" w:hAnsi="Bookman Old Style" w:cs="Arial"/>
          <w:b/>
          <w:position w:val="-2"/>
          <w:sz w:val="32"/>
          <w:szCs w:val="32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b/>
          <w:sz w:val="32"/>
          <w:szCs w:val="32"/>
          <w:lang w:val="es-CO"/>
        </w:rPr>
        <w:t>(CHURN)</w:t>
      </w:r>
    </w:p>
    <w:p w14:paraId="15C1A3D9" w14:textId="77777777" w:rsidR="006A56EB" w:rsidRPr="00742B9D" w:rsidRDefault="006A56EB">
      <w:pPr>
        <w:spacing w:line="200" w:lineRule="exact"/>
        <w:rPr>
          <w:rFonts w:ascii="Bookman Old Style" w:hAnsi="Bookman Old Style"/>
          <w:sz w:val="24"/>
          <w:szCs w:val="24"/>
          <w:lang w:val="es-CO"/>
        </w:rPr>
      </w:pPr>
    </w:p>
    <w:p w14:paraId="40B780EB" w14:textId="5C9D6A65" w:rsidR="006A56EB" w:rsidRPr="00742B9D" w:rsidRDefault="006A56EB">
      <w:pPr>
        <w:spacing w:before="13" w:line="240" w:lineRule="exact"/>
        <w:rPr>
          <w:rFonts w:ascii="Bookman Old Style" w:hAnsi="Bookman Old Style"/>
          <w:sz w:val="24"/>
          <w:szCs w:val="24"/>
          <w:lang w:val="es-CO"/>
        </w:rPr>
      </w:pPr>
    </w:p>
    <w:p w14:paraId="5AD97CFA" w14:textId="7CE107BC" w:rsidR="006A56EB" w:rsidRPr="00742B9D" w:rsidRDefault="00000000" w:rsidP="00742B9D">
      <w:pPr>
        <w:pStyle w:val="Prrafodelista"/>
        <w:numPr>
          <w:ilvl w:val="0"/>
          <w:numId w:val="4"/>
        </w:numPr>
        <w:rPr>
          <w:rFonts w:ascii="Bookman Old Style" w:eastAsia="Arial" w:hAnsi="Bookman Old Style" w:cs="Arial"/>
          <w:b/>
          <w:sz w:val="28"/>
          <w:szCs w:val="28"/>
          <w:lang w:val="es-CO"/>
        </w:rPr>
      </w:pPr>
      <w:r w:rsidRPr="00742B9D">
        <w:rPr>
          <w:rFonts w:ascii="Bookman Old Style" w:eastAsia="Arial" w:hAnsi="Bookman Old Style" w:cs="Arial"/>
          <w:b/>
          <w:sz w:val="28"/>
          <w:szCs w:val="28"/>
          <w:lang w:val="es-CO"/>
        </w:rPr>
        <w:t>Introducción</w:t>
      </w:r>
    </w:p>
    <w:p w14:paraId="45210292" w14:textId="77777777" w:rsidR="00742B9D" w:rsidRPr="00742B9D" w:rsidRDefault="00742B9D">
      <w:pPr>
        <w:ind w:left="100"/>
        <w:rPr>
          <w:rFonts w:ascii="Bookman Old Style" w:eastAsia="Arial" w:hAnsi="Bookman Old Style" w:cs="Arial"/>
          <w:sz w:val="28"/>
          <w:szCs w:val="28"/>
          <w:lang w:val="es-CO"/>
        </w:rPr>
      </w:pPr>
    </w:p>
    <w:p w14:paraId="649C7935" w14:textId="45A48192" w:rsidR="006A56EB" w:rsidRDefault="00000000" w:rsidP="00742B9D">
      <w:pPr>
        <w:spacing w:before="10" w:line="250" w:lineRule="auto"/>
        <w:ind w:left="100" w:right="91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 xml:space="preserve">La evasión de clientes, conocida como </w:t>
      </w:r>
      <w:r w:rsidRPr="00742B9D">
        <w:rPr>
          <w:rFonts w:ascii="Bookman Old Style" w:eastAsia="Arial" w:hAnsi="Bookman Old Style" w:cs="Arial"/>
          <w:b/>
          <w:sz w:val="24"/>
          <w:szCs w:val="24"/>
          <w:lang w:val="es-CO"/>
        </w:rPr>
        <w:t>"</w:t>
      </w:r>
      <w:proofErr w:type="spellStart"/>
      <w:r w:rsidRPr="00742B9D">
        <w:rPr>
          <w:rFonts w:ascii="Bookman Old Style" w:eastAsia="Arial" w:hAnsi="Bookman Old Style" w:cs="Arial"/>
          <w:b/>
          <w:sz w:val="24"/>
          <w:szCs w:val="24"/>
          <w:lang w:val="es-CO"/>
        </w:rPr>
        <w:t>Churn</w:t>
      </w:r>
      <w:proofErr w:type="spellEnd"/>
      <w:r w:rsidRPr="00742B9D">
        <w:rPr>
          <w:rFonts w:ascii="Bookman Old Style" w:eastAsia="Arial" w:hAnsi="Bookman Old Style" w:cs="Arial"/>
          <w:b/>
          <w:sz w:val="24"/>
          <w:szCs w:val="24"/>
          <w:lang w:val="es-CO"/>
        </w:rPr>
        <w:t>"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, representa un gran desafío para las empresas de telecomunicaciones. Comprender los factores que llevan a los clientes a cancelar sus contratos es crucial para diseñar estrategias de retención efectivas.</w:t>
      </w:r>
    </w:p>
    <w:p w14:paraId="4B1E7A63" w14:textId="77777777" w:rsidR="00742B9D" w:rsidRPr="00742B9D" w:rsidRDefault="00742B9D" w:rsidP="00742B9D">
      <w:pPr>
        <w:spacing w:before="10" w:line="250" w:lineRule="auto"/>
        <w:ind w:left="100" w:right="91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61E2BFCB" w14:textId="33345746" w:rsidR="006A56EB" w:rsidRPr="00742B9D" w:rsidRDefault="00000000" w:rsidP="00742B9D">
      <w:pPr>
        <w:spacing w:line="250" w:lineRule="auto"/>
        <w:ind w:left="100" w:right="6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El objetivo de este análisis es identificar patrones y características comunes entre los clientes que han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cancelado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sus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servicios.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A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partir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de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estos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hallazgos,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se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buscan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proofErr w:type="spellStart"/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insights</w:t>
      </w:r>
      <w:proofErr w:type="spellEnd"/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que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permitan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reducir</w:t>
      </w:r>
      <w:r w:rsidRPr="00742B9D">
        <w:rPr>
          <w:rFonts w:ascii="Bookman Old Style" w:eastAsia="Arial" w:hAnsi="Bookman Old Style" w:cs="Arial"/>
          <w:spacing w:val="-2"/>
          <w:sz w:val="24"/>
          <w:szCs w:val="24"/>
          <w:lang w:val="es-CO"/>
        </w:rPr>
        <w:t xml:space="preserve"> </w:t>
      </w: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 xml:space="preserve">la tasa de </w:t>
      </w:r>
      <w:proofErr w:type="spellStart"/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churn</w:t>
      </w:r>
      <w:proofErr w:type="spellEnd"/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 xml:space="preserve"> y mejorar la fidelización.</w:t>
      </w:r>
    </w:p>
    <w:p w14:paraId="52E4AAE8" w14:textId="77777777" w:rsidR="006A56EB" w:rsidRPr="00742B9D" w:rsidRDefault="006A56EB">
      <w:pPr>
        <w:spacing w:before="7" w:line="100" w:lineRule="exact"/>
        <w:rPr>
          <w:rFonts w:ascii="Bookman Old Style" w:hAnsi="Bookman Old Style"/>
          <w:sz w:val="24"/>
          <w:szCs w:val="24"/>
          <w:lang w:val="es-CO"/>
        </w:rPr>
      </w:pPr>
    </w:p>
    <w:p w14:paraId="297D7028" w14:textId="77777777" w:rsidR="006A56EB" w:rsidRPr="00742B9D" w:rsidRDefault="006A56EB">
      <w:pPr>
        <w:spacing w:line="200" w:lineRule="exact"/>
        <w:rPr>
          <w:rFonts w:ascii="Bookman Old Style" w:hAnsi="Bookman Old Style"/>
          <w:sz w:val="24"/>
          <w:szCs w:val="24"/>
          <w:lang w:val="es-CO"/>
        </w:rPr>
      </w:pPr>
    </w:p>
    <w:p w14:paraId="4C447B42" w14:textId="361163E3" w:rsidR="006A56EB" w:rsidRPr="00742B9D" w:rsidRDefault="00000000" w:rsidP="00742B9D">
      <w:pPr>
        <w:pStyle w:val="Prrafodelista"/>
        <w:numPr>
          <w:ilvl w:val="0"/>
          <w:numId w:val="4"/>
        </w:numPr>
        <w:rPr>
          <w:rFonts w:ascii="Bookman Old Style" w:eastAsia="Arial" w:hAnsi="Bookman Old Style" w:cs="Arial"/>
          <w:b/>
          <w:sz w:val="28"/>
          <w:szCs w:val="28"/>
          <w:lang w:val="es-CO"/>
        </w:rPr>
      </w:pPr>
      <w:r w:rsidRPr="00742B9D">
        <w:rPr>
          <w:rFonts w:ascii="Bookman Old Style" w:eastAsia="Arial" w:hAnsi="Bookman Old Style" w:cs="Arial"/>
          <w:b/>
          <w:sz w:val="28"/>
          <w:szCs w:val="28"/>
          <w:lang w:val="es-CO"/>
        </w:rPr>
        <w:t>Limpieza y Tratamiento de Datos</w:t>
      </w:r>
    </w:p>
    <w:p w14:paraId="41932FFF" w14:textId="3CB3A69A" w:rsidR="00742B9D" w:rsidRPr="00742B9D" w:rsidRDefault="00742B9D">
      <w:pPr>
        <w:ind w:left="100"/>
        <w:rPr>
          <w:rFonts w:ascii="Bookman Old Style" w:eastAsia="Arial" w:hAnsi="Bookman Old Style" w:cs="Arial"/>
          <w:sz w:val="28"/>
          <w:szCs w:val="28"/>
          <w:lang w:val="es-CO"/>
        </w:rPr>
      </w:pPr>
    </w:p>
    <w:p w14:paraId="7A396CD0" w14:textId="7A287A93" w:rsidR="006A56EB" w:rsidRDefault="00000000" w:rsidP="00742B9D">
      <w:pPr>
        <w:spacing w:before="10"/>
        <w:ind w:left="100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Para garantizar la calidad del análisis, se llevaron a cabo las siguientes tareas:</w:t>
      </w:r>
    </w:p>
    <w:p w14:paraId="491807F0" w14:textId="77777777" w:rsidR="00742B9D" w:rsidRPr="00742B9D" w:rsidRDefault="00742B9D" w:rsidP="00742B9D">
      <w:pPr>
        <w:spacing w:before="10"/>
        <w:ind w:left="100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08105F9A" w14:textId="77D4DE21" w:rsidR="006A56EB" w:rsidRPr="00742B9D" w:rsidRDefault="00000000" w:rsidP="00742B9D">
      <w:pPr>
        <w:pStyle w:val="Prrafodelista"/>
        <w:numPr>
          <w:ilvl w:val="0"/>
          <w:numId w:val="2"/>
        </w:numPr>
        <w:spacing w:line="240" w:lineRule="exact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Importación de datos desde un archivo JSON.</w:t>
      </w:r>
    </w:p>
    <w:p w14:paraId="77304A1E" w14:textId="777F84B9" w:rsidR="006A56EB" w:rsidRPr="00742B9D" w:rsidRDefault="00000000" w:rsidP="00742B9D">
      <w:pPr>
        <w:pStyle w:val="Prrafodelista"/>
        <w:numPr>
          <w:ilvl w:val="0"/>
          <w:numId w:val="2"/>
        </w:numPr>
        <w:spacing w:line="240" w:lineRule="exact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Conversión de columnas al tipo de dato correcto.</w:t>
      </w:r>
    </w:p>
    <w:p w14:paraId="1298636D" w14:textId="746CAF71" w:rsidR="006A56EB" w:rsidRPr="00742B9D" w:rsidRDefault="00000000" w:rsidP="00742B9D">
      <w:pPr>
        <w:pStyle w:val="Prrafodelista"/>
        <w:numPr>
          <w:ilvl w:val="0"/>
          <w:numId w:val="2"/>
        </w:numPr>
        <w:spacing w:line="240" w:lineRule="exact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Tratamiento de valores nulos.</w:t>
      </w:r>
    </w:p>
    <w:p w14:paraId="7B2B1041" w14:textId="1DD64AEA" w:rsidR="006A56EB" w:rsidRPr="00742B9D" w:rsidRDefault="00000000" w:rsidP="00742B9D">
      <w:pPr>
        <w:pStyle w:val="Prrafodelista"/>
        <w:numPr>
          <w:ilvl w:val="0"/>
          <w:numId w:val="2"/>
        </w:numPr>
        <w:spacing w:line="240" w:lineRule="exact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Conversión de valores categóricos.</w:t>
      </w:r>
    </w:p>
    <w:p w14:paraId="3E1B8EA4" w14:textId="6D173653" w:rsidR="006A56EB" w:rsidRPr="00742B9D" w:rsidRDefault="00000000" w:rsidP="00742B9D">
      <w:pPr>
        <w:pStyle w:val="Prrafodelista"/>
        <w:numPr>
          <w:ilvl w:val="0"/>
          <w:numId w:val="2"/>
        </w:numPr>
        <w:spacing w:line="240" w:lineRule="exact"/>
        <w:jc w:val="both"/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 xml:space="preserve">Creación de variables derivadas, como </w:t>
      </w:r>
      <w:proofErr w:type="spellStart"/>
      <w:r w:rsidRPr="00742B9D">
        <w:rPr>
          <w:rFonts w:ascii="Bookman Old Style" w:eastAsia="Arial" w:hAnsi="Bookman Old Style" w:cs="Arial"/>
          <w:i/>
          <w:position w:val="-1"/>
          <w:sz w:val="24"/>
          <w:szCs w:val="24"/>
          <w:lang w:val="es-CO"/>
        </w:rPr>
        <w:t>Cuentas_Diarias</w:t>
      </w:r>
      <w:proofErr w:type="spellEnd"/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.</w:t>
      </w:r>
    </w:p>
    <w:p w14:paraId="178A2B2E" w14:textId="77777777" w:rsidR="00742B9D" w:rsidRPr="00742B9D" w:rsidRDefault="00742B9D" w:rsidP="00742B9D">
      <w:pPr>
        <w:spacing w:line="240" w:lineRule="exact"/>
        <w:ind w:left="100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423BFB53" w14:textId="77777777" w:rsidR="006A56EB" w:rsidRPr="00742B9D" w:rsidRDefault="00000000" w:rsidP="00742B9D">
      <w:pPr>
        <w:spacing w:before="10"/>
        <w:ind w:left="100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 xml:space="preserve">Estos pasos aseguraron un </w:t>
      </w:r>
      <w:proofErr w:type="spellStart"/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dataset</w:t>
      </w:r>
      <w:proofErr w:type="spellEnd"/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 xml:space="preserve"> limpio, completo y listo para análisis estadístico y visual.</w:t>
      </w:r>
    </w:p>
    <w:p w14:paraId="12257F83" w14:textId="58EF80FF" w:rsidR="006A56EB" w:rsidRPr="00742B9D" w:rsidRDefault="006A56EB">
      <w:pPr>
        <w:spacing w:before="7" w:line="120" w:lineRule="exact"/>
        <w:rPr>
          <w:rFonts w:ascii="Bookman Old Style" w:hAnsi="Bookman Old Style"/>
          <w:sz w:val="24"/>
          <w:szCs w:val="24"/>
          <w:lang w:val="es-CO"/>
        </w:rPr>
      </w:pPr>
    </w:p>
    <w:p w14:paraId="43998EB2" w14:textId="77777777" w:rsidR="006A56EB" w:rsidRPr="00742B9D" w:rsidRDefault="006A56EB">
      <w:pPr>
        <w:spacing w:line="200" w:lineRule="exact"/>
        <w:rPr>
          <w:rFonts w:ascii="Bookman Old Style" w:hAnsi="Bookman Old Style"/>
          <w:sz w:val="24"/>
          <w:szCs w:val="24"/>
          <w:lang w:val="es-CO"/>
        </w:rPr>
      </w:pPr>
    </w:p>
    <w:p w14:paraId="75040ECA" w14:textId="31F7D650" w:rsidR="006A56EB" w:rsidRPr="00742B9D" w:rsidRDefault="00000000" w:rsidP="00742B9D">
      <w:pPr>
        <w:pStyle w:val="Prrafodelista"/>
        <w:numPr>
          <w:ilvl w:val="0"/>
          <w:numId w:val="4"/>
        </w:numPr>
        <w:jc w:val="both"/>
        <w:rPr>
          <w:rFonts w:ascii="Bookman Old Style" w:eastAsia="Arial" w:hAnsi="Bookman Old Style" w:cs="Arial"/>
          <w:b/>
          <w:sz w:val="28"/>
          <w:szCs w:val="28"/>
          <w:lang w:val="es-CO"/>
        </w:rPr>
      </w:pPr>
      <w:r w:rsidRPr="00742B9D">
        <w:rPr>
          <w:rFonts w:ascii="Bookman Old Style" w:eastAsia="Arial" w:hAnsi="Bookman Old Style" w:cs="Arial"/>
          <w:b/>
          <w:sz w:val="28"/>
          <w:szCs w:val="28"/>
          <w:lang w:val="es-CO"/>
        </w:rPr>
        <w:t>Análisis Exploratorio de Datos (EDA)</w:t>
      </w:r>
    </w:p>
    <w:p w14:paraId="6D2DB066" w14:textId="77777777" w:rsidR="00742B9D" w:rsidRPr="00742B9D" w:rsidRDefault="00742B9D" w:rsidP="00742B9D">
      <w:pPr>
        <w:ind w:left="100"/>
        <w:jc w:val="both"/>
        <w:rPr>
          <w:rFonts w:ascii="Bookman Old Style" w:eastAsia="Arial" w:hAnsi="Bookman Old Style" w:cs="Arial"/>
          <w:sz w:val="28"/>
          <w:szCs w:val="28"/>
          <w:lang w:val="es-CO"/>
        </w:rPr>
      </w:pPr>
    </w:p>
    <w:p w14:paraId="37B84A34" w14:textId="33E8A490" w:rsidR="006A56EB" w:rsidRDefault="00000000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 xml:space="preserve">Se realizó un análisis descriptivo y visual de la variable </w:t>
      </w:r>
      <w:proofErr w:type="spellStart"/>
      <w:r w:rsidRPr="00742B9D">
        <w:rPr>
          <w:rFonts w:ascii="Bookman Old Style" w:eastAsia="Arial" w:hAnsi="Bookman Old Style" w:cs="Arial"/>
          <w:i/>
          <w:sz w:val="24"/>
          <w:szCs w:val="24"/>
          <w:lang w:val="es-CO"/>
        </w:rPr>
        <w:t>Churn</w:t>
      </w:r>
      <w:proofErr w:type="spellEnd"/>
      <w:r w:rsidRPr="00742B9D">
        <w:rPr>
          <w:rFonts w:ascii="Bookman Old Style" w:eastAsia="Arial" w:hAnsi="Bookman Old Style" w:cs="Arial"/>
          <w:sz w:val="24"/>
          <w:szCs w:val="24"/>
          <w:lang w:val="es-CO"/>
        </w:rPr>
        <w:t>, observando su relación con múltiples características.</w:t>
      </w:r>
    </w:p>
    <w:p w14:paraId="5DCD58FD" w14:textId="77777777" w:rsidR="001D543F" w:rsidRPr="001D543F" w:rsidRDefault="001D543F" w:rsidP="001D543F">
      <w:pPr>
        <w:spacing w:before="10" w:line="250" w:lineRule="auto"/>
        <w:ind w:left="720" w:right="826"/>
        <w:jc w:val="both"/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</w:pPr>
      <w:r w:rsidRPr="001D543F">
        <w:rPr>
          <w:rFonts w:ascii="Segoe UI Emoji" w:eastAsia="Arial" w:hAnsi="Segoe UI Emoji" w:cs="Segoe UI Emoji"/>
          <w:b/>
          <w:bCs/>
          <w:sz w:val="24"/>
          <w:szCs w:val="24"/>
          <w:lang w:val="es-CO"/>
        </w:rPr>
        <w:t>✅</w:t>
      </w:r>
      <w:r w:rsidRPr="001D543F"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  <w:t xml:space="preserve"> Proporción de Evasión</w:t>
      </w:r>
    </w:p>
    <w:p w14:paraId="29DBD7B3" w14:textId="77777777" w:rsidR="001D543F" w:rsidRPr="001D543F" w:rsidRDefault="001D543F" w:rsidP="001D543F">
      <w:pPr>
        <w:spacing w:before="10" w:line="250" w:lineRule="auto"/>
        <w:ind w:left="100" w:right="-40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 xml:space="preserve">Aproximadamente el </w:t>
      </w:r>
      <w:r w:rsidRPr="001D543F"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  <w:t>27% de los clientes cancelaron el servicio</w:t>
      </w:r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>, lo cual indica una tasa significativa de evasión que requiere atención.</w:t>
      </w:r>
    </w:p>
    <w:p w14:paraId="09AD2134" w14:textId="07D944A5" w:rsidR="001D543F" w:rsidRDefault="001D543F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>
        <w:rPr>
          <w:rFonts w:ascii="Bookman Old Style" w:eastAsia="Arial" w:hAnsi="Bookman Old Style" w:cs="Arial"/>
          <w:noProof/>
          <w:sz w:val="24"/>
          <w:szCs w:val="24"/>
          <w:lang w:val="es-CO"/>
        </w:rPr>
        <w:drawing>
          <wp:anchor distT="0" distB="0" distL="114300" distR="114300" simplePos="0" relativeHeight="251659264" behindDoc="0" locked="0" layoutInCell="1" allowOverlap="1" wp14:anchorId="14A70C49" wp14:editId="456D14B8">
            <wp:simplePos x="0" y="0"/>
            <wp:positionH relativeFrom="margin">
              <wp:posOffset>931516</wp:posOffset>
            </wp:positionH>
            <wp:positionV relativeFrom="paragraph">
              <wp:posOffset>146188</wp:posOffset>
            </wp:positionV>
            <wp:extent cx="3590001" cy="2236304"/>
            <wp:effectExtent l="0" t="0" r="0" b="0"/>
            <wp:wrapNone/>
            <wp:docPr id="1967330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30167" name="Imagen 19673301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167" cy="2248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212F8" w14:textId="3DCF8614" w:rsidR="00742B9D" w:rsidRDefault="00742B9D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4A78BD8C" w14:textId="7046880B" w:rsidR="00742B9D" w:rsidRDefault="00742B9D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1E4FCA65" w14:textId="72AEDB31" w:rsidR="00742B9D" w:rsidRDefault="00742B9D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048A0F75" w14:textId="1DD68EB3" w:rsidR="00742B9D" w:rsidRDefault="00742B9D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1DF6010D" w14:textId="34D95E86" w:rsidR="00742B9D" w:rsidRDefault="00742B9D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0244724E" w14:textId="1DE8D252" w:rsidR="00742B9D" w:rsidRDefault="00742B9D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6D965945" w14:textId="77777777" w:rsidR="00742B9D" w:rsidRDefault="00742B9D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5755C1B7" w14:textId="30AE77C0" w:rsidR="00742B9D" w:rsidRDefault="00742B9D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5648D76E" w14:textId="5844C7C7" w:rsidR="00742B9D" w:rsidRDefault="00742B9D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4173B695" w14:textId="6EA7453A" w:rsidR="00742B9D" w:rsidRDefault="00742B9D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7021716A" w14:textId="77777777" w:rsidR="001D543F" w:rsidRDefault="001D543F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47B1BF5D" w14:textId="77777777" w:rsidR="00742B9D" w:rsidRDefault="00742B9D" w:rsidP="00742B9D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7463C92A" w14:textId="77777777" w:rsidR="001D543F" w:rsidRPr="001D543F" w:rsidRDefault="001D543F" w:rsidP="001D543F">
      <w:pPr>
        <w:spacing w:before="10" w:line="250" w:lineRule="auto"/>
        <w:ind w:left="720" w:right="50"/>
        <w:jc w:val="both"/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</w:pPr>
      <w:r w:rsidRPr="001D543F">
        <w:rPr>
          <w:rFonts w:ascii="Segoe UI Emoji" w:eastAsia="Arial" w:hAnsi="Segoe UI Emoji" w:cs="Segoe UI Emoji"/>
          <w:b/>
          <w:bCs/>
          <w:sz w:val="24"/>
          <w:szCs w:val="24"/>
          <w:lang w:val="es-CO"/>
        </w:rPr>
        <w:lastRenderedPageBreak/>
        <w:t>✅</w:t>
      </w:r>
      <w:r w:rsidRPr="001D543F"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  <w:t xml:space="preserve"> </w:t>
      </w:r>
      <w:proofErr w:type="spellStart"/>
      <w:r w:rsidRPr="001D543F"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  <w:t>Churn</w:t>
      </w:r>
      <w:proofErr w:type="spellEnd"/>
      <w:r w:rsidRPr="001D543F"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  <w:t xml:space="preserve"> por Tipo de Contrato</w:t>
      </w:r>
    </w:p>
    <w:p w14:paraId="33295149" w14:textId="77777777" w:rsidR="001D543F" w:rsidRPr="001D543F" w:rsidRDefault="001D543F" w:rsidP="001D543F">
      <w:pPr>
        <w:spacing w:before="10" w:line="250" w:lineRule="auto"/>
        <w:ind w:left="100" w:right="50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 xml:space="preserve">Los clientes con contratos </w:t>
      </w:r>
      <w:r w:rsidRPr="001D543F"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  <w:t>mes a mes</w:t>
      </w:r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 xml:space="preserve"> tienen una tasa de evasión mucho mayor en comparación con los que tienen contratos anuales o bienales, sugiriendo un vínculo entre compromiso contractual y fidelidad.</w:t>
      </w:r>
    </w:p>
    <w:p w14:paraId="5B909371" w14:textId="02B5C164" w:rsidR="00742B9D" w:rsidRDefault="00742B9D" w:rsidP="00742B9D">
      <w:pPr>
        <w:spacing w:before="10" w:line="250" w:lineRule="auto"/>
        <w:ind w:left="100" w:right="826"/>
        <w:jc w:val="center"/>
        <w:rPr>
          <w:rFonts w:ascii="Bookman Old Style" w:eastAsia="Arial" w:hAnsi="Bookman Old Style" w:cs="Arial"/>
          <w:sz w:val="24"/>
          <w:szCs w:val="24"/>
          <w:lang w:val="es-CO"/>
        </w:rPr>
      </w:pPr>
      <w:r>
        <w:rPr>
          <w:rFonts w:ascii="Bookman Old Style" w:eastAsia="Arial" w:hAnsi="Bookman Old Style" w:cs="Arial"/>
          <w:noProof/>
          <w:sz w:val="24"/>
          <w:szCs w:val="24"/>
          <w:lang w:val="es-CO"/>
        </w:rPr>
        <w:drawing>
          <wp:inline distT="0" distB="0" distL="0" distR="0" wp14:anchorId="11C8CF34" wp14:editId="71E0AA68">
            <wp:extent cx="5235394" cy="3101609"/>
            <wp:effectExtent l="0" t="0" r="3810" b="3810"/>
            <wp:docPr id="9801679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67973" name="Imagen 980167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8A95" w14:textId="77777777" w:rsidR="001D543F" w:rsidRDefault="001D543F" w:rsidP="00742B9D">
      <w:pPr>
        <w:spacing w:before="10" w:line="250" w:lineRule="auto"/>
        <w:ind w:left="100" w:right="826"/>
        <w:jc w:val="center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648BC718" w14:textId="77777777" w:rsidR="001D543F" w:rsidRPr="001D543F" w:rsidRDefault="001D543F" w:rsidP="001D543F">
      <w:pPr>
        <w:spacing w:before="10" w:line="250" w:lineRule="auto"/>
        <w:ind w:left="720" w:right="-40"/>
        <w:jc w:val="both"/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</w:pPr>
      <w:r w:rsidRPr="001D543F">
        <w:rPr>
          <w:rFonts w:ascii="Segoe UI Emoji" w:eastAsia="Arial" w:hAnsi="Segoe UI Emoji" w:cs="Segoe UI Emoji"/>
          <w:b/>
          <w:bCs/>
          <w:sz w:val="24"/>
          <w:szCs w:val="24"/>
          <w:lang w:val="es-CO"/>
        </w:rPr>
        <w:t>✅</w:t>
      </w:r>
      <w:r w:rsidRPr="001D543F"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  <w:t xml:space="preserve"> Meses de Contrato vs Evasión</w:t>
      </w:r>
    </w:p>
    <w:p w14:paraId="6161D47C" w14:textId="77777777" w:rsidR="001D543F" w:rsidRPr="001D543F" w:rsidRDefault="001D543F" w:rsidP="001D543F">
      <w:pPr>
        <w:spacing w:before="10" w:line="250" w:lineRule="auto"/>
        <w:ind w:left="100" w:right="-40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 xml:space="preserve">Los clientes que cancelan tienden a tener </w:t>
      </w:r>
      <w:r w:rsidRPr="001D543F"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  <w:t>menos meses de antigüedad</w:t>
      </w:r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>, lo que sugiere que los primeros meses son críticos para la retención.</w:t>
      </w:r>
    </w:p>
    <w:p w14:paraId="20D3E388" w14:textId="77777777" w:rsidR="001D543F" w:rsidRDefault="001D543F" w:rsidP="00742B9D">
      <w:pPr>
        <w:spacing w:before="10" w:line="250" w:lineRule="auto"/>
        <w:ind w:left="100" w:right="826"/>
        <w:jc w:val="center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4DF9631F" w14:textId="590F0059" w:rsidR="00742B9D" w:rsidRDefault="00742B9D" w:rsidP="00742B9D">
      <w:pPr>
        <w:spacing w:before="10" w:line="250" w:lineRule="auto"/>
        <w:ind w:left="100" w:right="826"/>
        <w:jc w:val="center"/>
        <w:rPr>
          <w:rFonts w:ascii="Bookman Old Style" w:eastAsia="Arial" w:hAnsi="Bookman Old Style" w:cs="Arial"/>
          <w:sz w:val="24"/>
          <w:szCs w:val="24"/>
          <w:lang w:val="es-CO"/>
        </w:rPr>
      </w:pPr>
      <w:r>
        <w:rPr>
          <w:rFonts w:ascii="Bookman Old Style" w:eastAsia="Arial" w:hAnsi="Bookman Old Style" w:cs="Arial"/>
          <w:noProof/>
          <w:sz w:val="24"/>
          <w:szCs w:val="24"/>
          <w:lang w:val="es-CO"/>
        </w:rPr>
        <w:drawing>
          <wp:inline distT="0" distB="0" distL="0" distR="0" wp14:anchorId="2F8D33D8" wp14:editId="4DD7E032">
            <wp:extent cx="4114800" cy="2490858"/>
            <wp:effectExtent l="0" t="0" r="0" b="5080"/>
            <wp:docPr id="461957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5710" name="Imagen 461957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489" cy="249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C3CF" w14:textId="77777777" w:rsidR="001D543F" w:rsidRPr="001D543F" w:rsidRDefault="001D543F" w:rsidP="001D543F">
      <w:pPr>
        <w:spacing w:before="10" w:line="250" w:lineRule="auto"/>
        <w:ind w:left="720" w:right="826"/>
        <w:jc w:val="both"/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</w:pPr>
      <w:r w:rsidRPr="001D543F">
        <w:rPr>
          <w:rFonts w:ascii="Segoe UI Emoji" w:eastAsia="Arial" w:hAnsi="Segoe UI Emoji" w:cs="Segoe UI Emoji"/>
          <w:b/>
          <w:bCs/>
          <w:sz w:val="24"/>
          <w:szCs w:val="24"/>
          <w:lang w:val="es-CO"/>
        </w:rPr>
        <w:t>✅</w:t>
      </w:r>
      <w:r w:rsidRPr="001D543F">
        <w:rPr>
          <w:rFonts w:ascii="Bookman Old Style" w:eastAsia="Arial" w:hAnsi="Bookman Old Style" w:cs="Arial"/>
          <w:b/>
          <w:bCs/>
          <w:sz w:val="24"/>
          <w:szCs w:val="24"/>
          <w:lang w:val="es-CO"/>
        </w:rPr>
        <w:t xml:space="preserve"> Correlaciones entre Variables</w:t>
      </w:r>
    </w:p>
    <w:p w14:paraId="2779D3C9" w14:textId="77777777" w:rsidR="001D543F" w:rsidRPr="001D543F" w:rsidRDefault="001D543F" w:rsidP="001D543F">
      <w:pPr>
        <w:spacing w:before="10" w:line="250" w:lineRule="auto"/>
        <w:ind w:left="100"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 xml:space="preserve">La variable </w:t>
      </w:r>
      <w:proofErr w:type="spellStart"/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>Churn</w:t>
      </w:r>
      <w:proofErr w:type="spellEnd"/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 xml:space="preserve"> muestra:</w:t>
      </w:r>
    </w:p>
    <w:p w14:paraId="07BE9BF7" w14:textId="77777777" w:rsidR="001D543F" w:rsidRPr="001D543F" w:rsidRDefault="001D543F" w:rsidP="001D543F">
      <w:pPr>
        <w:pStyle w:val="Prrafodelista"/>
        <w:numPr>
          <w:ilvl w:val="0"/>
          <w:numId w:val="9"/>
        </w:numPr>
        <w:spacing w:before="10" w:line="250" w:lineRule="auto"/>
        <w:ind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1D543F">
        <w:rPr>
          <w:rFonts w:ascii="Segoe UI Emoji" w:eastAsia="Arial" w:hAnsi="Segoe UI Emoji" w:cs="Segoe UI Emoji"/>
          <w:sz w:val="24"/>
          <w:szCs w:val="24"/>
          <w:lang w:val="es-CO"/>
        </w:rPr>
        <w:t>📉</w:t>
      </w:r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 xml:space="preserve"> Correlación negativa con </w:t>
      </w:r>
      <w:proofErr w:type="spellStart"/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>tenure</w:t>
      </w:r>
      <w:proofErr w:type="spellEnd"/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 xml:space="preserve"> (antigüedad).</w:t>
      </w:r>
    </w:p>
    <w:p w14:paraId="36721352" w14:textId="77777777" w:rsidR="001D543F" w:rsidRPr="001D543F" w:rsidRDefault="001D543F" w:rsidP="001D543F">
      <w:pPr>
        <w:numPr>
          <w:ilvl w:val="0"/>
          <w:numId w:val="9"/>
        </w:numPr>
        <w:spacing w:before="10" w:line="250" w:lineRule="auto"/>
        <w:ind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1D543F">
        <w:rPr>
          <w:rFonts w:ascii="Segoe UI Emoji" w:eastAsia="Arial" w:hAnsi="Segoe UI Emoji" w:cs="Segoe UI Emoji"/>
          <w:sz w:val="24"/>
          <w:szCs w:val="24"/>
          <w:lang w:val="es-CO"/>
        </w:rPr>
        <w:t>📈</w:t>
      </w:r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 xml:space="preserve"> Ligera correlación positiva con </w:t>
      </w:r>
      <w:proofErr w:type="spellStart"/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>MonthlyCharges</w:t>
      </w:r>
      <w:proofErr w:type="spellEnd"/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>.</w:t>
      </w:r>
    </w:p>
    <w:p w14:paraId="515BFA4B" w14:textId="77777777" w:rsidR="001D543F" w:rsidRPr="001D543F" w:rsidRDefault="001D543F" w:rsidP="001D543F">
      <w:pPr>
        <w:numPr>
          <w:ilvl w:val="0"/>
          <w:numId w:val="9"/>
        </w:numPr>
        <w:spacing w:before="10" w:line="250" w:lineRule="auto"/>
        <w:ind w:right="826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1D543F">
        <w:rPr>
          <w:rFonts w:ascii="Bookman Old Style" w:eastAsia="Arial" w:hAnsi="Bookman Old Style" w:cs="Arial"/>
          <w:sz w:val="24"/>
          <w:szCs w:val="24"/>
          <w:lang w:val="es-CO"/>
        </w:rPr>
        <w:t>Correlaciones débiles con otras variables demográficas.</w:t>
      </w:r>
    </w:p>
    <w:p w14:paraId="398CD62A" w14:textId="77777777" w:rsidR="00742B9D" w:rsidRDefault="00742B9D" w:rsidP="00742B9D">
      <w:pPr>
        <w:spacing w:before="10" w:line="250" w:lineRule="auto"/>
        <w:ind w:left="100" w:right="826"/>
        <w:jc w:val="center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1D4899EB" w14:textId="0DFCD658" w:rsidR="00742B9D" w:rsidRDefault="00742B9D" w:rsidP="00742B9D">
      <w:pPr>
        <w:spacing w:before="10" w:line="250" w:lineRule="auto"/>
        <w:ind w:left="100" w:right="826"/>
        <w:jc w:val="center"/>
        <w:rPr>
          <w:rFonts w:ascii="Bookman Old Style" w:eastAsia="Arial" w:hAnsi="Bookman Old Style" w:cs="Arial"/>
          <w:sz w:val="24"/>
          <w:szCs w:val="24"/>
          <w:lang w:val="es-CO"/>
        </w:rPr>
      </w:pPr>
      <w:r>
        <w:rPr>
          <w:rFonts w:ascii="Bookman Old Style" w:eastAsia="Arial" w:hAnsi="Bookman Old Style" w:cs="Arial"/>
          <w:noProof/>
          <w:sz w:val="24"/>
          <w:szCs w:val="24"/>
          <w:lang w:val="es-CO"/>
        </w:rPr>
        <w:lastRenderedPageBreak/>
        <w:drawing>
          <wp:inline distT="0" distB="0" distL="0" distR="0" wp14:anchorId="37B7AD95" wp14:editId="622533AC">
            <wp:extent cx="5136325" cy="3200677"/>
            <wp:effectExtent l="0" t="0" r="7620" b="0"/>
            <wp:docPr id="11437659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65981" name="Imagen 11437659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F31" w14:textId="77777777" w:rsidR="00742B9D" w:rsidRDefault="00742B9D">
      <w:pPr>
        <w:spacing w:line="200" w:lineRule="exact"/>
        <w:rPr>
          <w:rFonts w:ascii="Bookman Old Style" w:hAnsi="Bookman Old Style"/>
          <w:sz w:val="24"/>
          <w:szCs w:val="24"/>
        </w:rPr>
      </w:pPr>
    </w:p>
    <w:p w14:paraId="32AB601B" w14:textId="2D2F9D80" w:rsidR="006A56EB" w:rsidRPr="00742B9D" w:rsidRDefault="00000000" w:rsidP="00742B9D">
      <w:pPr>
        <w:pStyle w:val="Prrafodelista"/>
        <w:numPr>
          <w:ilvl w:val="0"/>
          <w:numId w:val="4"/>
        </w:numPr>
        <w:spacing w:before="1"/>
        <w:rPr>
          <w:rFonts w:ascii="Bookman Old Style" w:eastAsia="Arial" w:hAnsi="Bookman Old Style" w:cs="Arial"/>
          <w:b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b/>
          <w:sz w:val="24"/>
          <w:szCs w:val="24"/>
          <w:lang w:val="es-CO"/>
        </w:rPr>
        <w:t xml:space="preserve">Conclusiones e </w:t>
      </w:r>
      <w:proofErr w:type="spellStart"/>
      <w:r w:rsidRPr="00742B9D">
        <w:rPr>
          <w:rFonts w:ascii="Bookman Old Style" w:eastAsia="Arial" w:hAnsi="Bookman Old Style" w:cs="Arial"/>
          <w:b/>
          <w:sz w:val="24"/>
          <w:szCs w:val="24"/>
          <w:lang w:val="es-CO"/>
        </w:rPr>
        <w:t>Insights</w:t>
      </w:r>
      <w:proofErr w:type="spellEnd"/>
    </w:p>
    <w:p w14:paraId="68A92279" w14:textId="77777777" w:rsidR="00742B9D" w:rsidRPr="00742B9D" w:rsidRDefault="00742B9D">
      <w:pPr>
        <w:spacing w:before="1"/>
        <w:ind w:left="100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7392BC21" w14:textId="2BA8C124" w:rsidR="006A56EB" w:rsidRPr="00742B9D" w:rsidRDefault="00000000" w:rsidP="00742B9D">
      <w:pPr>
        <w:pStyle w:val="Prrafodelista"/>
        <w:numPr>
          <w:ilvl w:val="0"/>
          <w:numId w:val="5"/>
        </w:numPr>
        <w:spacing w:line="240" w:lineRule="exact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Clientes con contrato mensual son los más propensos a cancelar.</w:t>
      </w:r>
    </w:p>
    <w:p w14:paraId="5F483366" w14:textId="01F00455" w:rsidR="006A56EB" w:rsidRPr="00742B9D" w:rsidRDefault="00000000" w:rsidP="00742B9D">
      <w:pPr>
        <w:pStyle w:val="Prrafodelista"/>
        <w:numPr>
          <w:ilvl w:val="0"/>
          <w:numId w:val="5"/>
        </w:numPr>
        <w:spacing w:line="240" w:lineRule="exact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La mayoría de los clientes que cancelan lo hacen en sus primeros meses.</w:t>
      </w:r>
    </w:p>
    <w:p w14:paraId="6FE8C22B" w14:textId="6F7BDBED" w:rsidR="006A56EB" w:rsidRPr="00742B9D" w:rsidRDefault="00000000" w:rsidP="00742B9D">
      <w:pPr>
        <w:pStyle w:val="Prrafodelista"/>
        <w:numPr>
          <w:ilvl w:val="0"/>
          <w:numId w:val="5"/>
        </w:numPr>
        <w:spacing w:line="240" w:lineRule="exact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Facturación mensual alta está ligeramente relacionada con mayor evasión.</w:t>
      </w:r>
    </w:p>
    <w:p w14:paraId="4F6DDDF6" w14:textId="0CF945D4" w:rsidR="006A56EB" w:rsidRPr="00742B9D" w:rsidRDefault="00000000" w:rsidP="00742B9D">
      <w:pPr>
        <w:pStyle w:val="Prrafodelista"/>
        <w:numPr>
          <w:ilvl w:val="0"/>
          <w:numId w:val="5"/>
        </w:numPr>
        <w:spacing w:line="240" w:lineRule="exact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 xml:space="preserve">No se encontró una fuerte relación entre edad o género y </w:t>
      </w:r>
      <w:proofErr w:type="spellStart"/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churn</w:t>
      </w:r>
      <w:proofErr w:type="spellEnd"/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.</w:t>
      </w:r>
    </w:p>
    <w:p w14:paraId="44E90766" w14:textId="454F8900" w:rsidR="006A56EB" w:rsidRPr="00742B9D" w:rsidRDefault="00000000" w:rsidP="00742B9D">
      <w:pPr>
        <w:pStyle w:val="Prrafodelista"/>
        <w:numPr>
          <w:ilvl w:val="0"/>
          <w:numId w:val="5"/>
        </w:numPr>
        <w:spacing w:line="240" w:lineRule="exact"/>
        <w:jc w:val="both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Los clientes sin pareja o dependientes tienden a cancelar un poco más.</w:t>
      </w:r>
    </w:p>
    <w:p w14:paraId="3ACDB683" w14:textId="77777777" w:rsidR="006A56EB" w:rsidRPr="00742B9D" w:rsidRDefault="006A56EB">
      <w:pPr>
        <w:spacing w:before="7" w:line="120" w:lineRule="exact"/>
        <w:rPr>
          <w:rFonts w:ascii="Bookman Old Style" w:hAnsi="Bookman Old Style"/>
          <w:sz w:val="24"/>
          <w:szCs w:val="24"/>
          <w:lang w:val="es-CO"/>
        </w:rPr>
      </w:pPr>
    </w:p>
    <w:p w14:paraId="00DF8CFF" w14:textId="77777777" w:rsidR="006A56EB" w:rsidRPr="00742B9D" w:rsidRDefault="006A56EB">
      <w:pPr>
        <w:spacing w:line="200" w:lineRule="exact"/>
        <w:rPr>
          <w:rFonts w:ascii="Bookman Old Style" w:hAnsi="Bookman Old Style"/>
          <w:sz w:val="24"/>
          <w:szCs w:val="24"/>
          <w:lang w:val="es-CO"/>
        </w:rPr>
      </w:pPr>
    </w:p>
    <w:p w14:paraId="1B30B81A" w14:textId="05967E29" w:rsidR="006A56EB" w:rsidRPr="00742B9D" w:rsidRDefault="00000000" w:rsidP="00742B9D">
      <w:pPr>
        <w:pStyle w:val="Prrafodelista"/>
        <w:numPr>
          <w:ilvl w:val="0"/>
          <w:numId w:val="4"/>
        </w:numPr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b/>
          <w:sz w:val="24"/>
          <w:szCs w:val="24"/>
          <w:lang w:val="es-CO"/>
        </w:rPr>
        <w:t>Recomendaciones</w:t>
      </w:r>
    </w:p>
    <w:p w14:paraId="13464839" w14:textId="77777777" w:rsidR="00742B9D" w:rsidRPr="00742B9D" w:rsidRDefault="00742B9D" w:rsidP="00742B9D">
      <w:pPr>
        <w:pStyle w:val="Prrafodelista"/>
        <w:ind w:left="820"/>
        <w:rPr>
          <w:rFonts w:ascii="Bookman Old Style" w:eastAsia="Arial" w:hAnsi="Bookman Old Style" w:cs="Arial"/>
          <w:sz w:val="24"/>
          <w:szCs w:val="24"/>
          <w:lang w:val="es-CO"/>
        </w:rPr>
      </w:pPr>
    </w:p>
    <w:p w14:paraId="37139065" w14:textId="7C234AD3" w:rsidR="006A56EB" w:rsidRPr="00742B9D" w:rsidRDefault="00000000" w:rsidP="00742B9D">
      <w:pPr>
        <w:pStyle w:val="Prrafodelista"/>
        <w:numPr>
          <w:ilvl w:val="0"/>
          <w:numId w:val="7"/>
        </w:numPr>
        <w:spacing w:line="240" w:lineRule="exact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Incentivar contratos a largo plazo.</w:t>
      </w:r>
    </w:p>
    <w:p w14:paraId="04973498" w14:textId="3B65A61B" w:rsidR="006A56EB" w:rsidRPr="00742B9D" w:rsidRDefault="00000000" w:rsidP="00742B9D">
      <w:pPr>
        <w:pStyle w:val="Prrafodelista"/>
        <w:numPr>
          <w:ilvl w:val="0"/>
          <w:numId w:val="7"/>
        </w:numPr>
        <w:spacing w:line="240" w:lineRule="exact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Enfocarse en los primeros meses.</w:t>
      </w:r>
    </w:p>
    <w:p w14:paraId="37C9685C" w14:textId="1DBC801B" w:rsidR="006A56EB" w:rsidRPr="00742B9D" w:rsidRDefault="00000000" w:rsidP="00742B9D">
      <w:pPr>
        <w:pStyle w:val="Prrafodelista"/>
        <w:numPr>
          <w:ilvl w:val="0"/>
          <w:numId w:val="7"/>
        </w:numPr>
        <w:spacing w:line="240" w:lineRule="exact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Revisar precios y servicios para clientes con cargos elevados.</w:t>
      </w:r>
    </w:p>
    <w:p w14:paraId="44B573A7" w14:textId="4FA0F499" w:rsidR="006A56EB" w:rsidRPr="00742B9D" w:rsidRDefault="00000000" w:rsidP="00742B9D">
      <w:pPr>
        <w:pStyle w:val="Prrafodelista"/>
        <w:numPr>
          <w:ilvl w:val="0"/>
          <w:numId w:val="7"/>
        </w:numPr>
        <w:spacing w:line="240" w:lineRule="exact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Diseñar campañas de retención específicas.</w:t>
      </w:r>
    </w:p>
    <w:p w14:paraId="0022AC88" w14:textId="7311A2FB" w:rsidR="006A56EB" w:rsidRPr="00742B9D" w:rsidRDefault="00000000" w:rsidP="00742B9D">
      <w:pPr>
        <w:pStyle w:val="Prrafodelista"/>
        <w:numPr>
          <w:ilvl w:val="0"/>
          <w:numId w:val="7"/>
        </w:numPr>
        <w:spacing w:line="240" w:lineRule="exact"/>
        <w:rPr>
          <w:rFonts w:ascii="Bookman Old Style" w:eastAsia="Arial" w:hAnsi="Bookman Old Style" w:cs="Arial"/>
          <w:sz w:val="24"/>
          <w:szCs w:val="24"/>
          <w:lang w:val="es-CO"/>
        </w:rPr>
      </w:pPr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 xml:space="preserve">Monitorear continuamente la evasión con </w:t>
      </w:r>
      <w:proofErr w:type="spellStart"/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dashboards</w:t>
      </w:r>
      <w:proofErr w:type="spellEnd"/>
      <w:r w:rsidRPr="00742B9D">
        <w:rPr>
          <w:rFonts w:ascii="Bookman Old Style" w:eastAsia="Arial" w:hAnsi="Bookman Old Style" w:cs="Arial"/>
          <w:position w:val="-1"/>
          <w:sz w:val="24"/>
          <w:szCs w:val="24"/>
          <w:lang w:val="es-CO"/>
        </w:rPr>
        <w:t>.</w:t>
      </w:r>
    </w:p>
    <w:sectPr w:rsidR="006A56EB" w:rsidRPr="00742B9D">
      <w:pgSz w:w="11920" w:h="16840"/>
      <w:pgMar w:top="1440" w:right="16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E32CD"/>
    <w:multiLevelType w:val="hybridMultilevel"/>
    <w:tmpl w:val="84E48850"/>
    <w:lvl w:ilvl="0" w:tplc="240A000F">
      <w:start w:val="1"/>
      <w:numFmt w:val="decimal"/>
      <w:lvlText w:val="%1."/>
      <w:lvlJc w:val="left"/>
      <w:pPr>
        <w:ind w:left="820" w:hanging="360"/>
      </w:pPr>
    </w:lvl>
    <w:lvl w:ilvl="1" w:tplc="240A0019" w:tentative="1">
      <w:start w:val="1"/>
      <w:numFmt w:val="lowerLetter"/>
      <w:lvlText w:val="%2."/>
      <w:lvlJc w:val="left"/>
      <w:pPr>
        <w:ind w:left="1540" w:hanging="360"/>
      </w:pPr>
    </w:lvl>
    <w:lvl w:ilvl="2" w:tplc="240A001B" w:tentative="1">
      <w:start w:val="1"/>
      <w:numFmt w:val="lowerRoman"/>
      <w:lvlText w:val="%3."/>
      <w:lvlJc w:val="right"/>
      <w:pPr>
        <w:ind w:left="2260" w:hanging="180"/>
      </w:pPr>
    </w:lvl>
    <w:lvl w:ilvl="3" w:tplc="240A000F" w:tentative="1">
      <w:start w:val="1"/>
      <w:numFmt w:val="decimal"/>
      <w:lvlText w:val="%4."/>
      <w:lvlJc w:val="left"/>
      <w:pPr>
        <w:ind w:left="2980" w:hanging="360"/>
      </w:pPr>
    </w:lvl>
    <w:lvl w:ilvl="4" w:tplc="240A0019" w:tentative="1">
      <w:start w:val="1"/>
      <w:numFmt w:val="lowerLetter"/>
      <w:lvlText w:val="%5."/>
      <w:lvlJc w:val="left"/>
      <w:pPr>
        <w:ind w:left="3700" w:hanging="360"/>
      </w:pPr>
    </w:lvl>
    <w:lvl w:ilvl="5" w:tplc="240A001B" w:tentative="1">
      <w:start w:val="1"/>
      <w:numFmt w:val="lowerRoman"/>
      <w:lvlText w:val="%6."/>
      <w:lvlJc w:val="right"/>
      <w:pPr>
        <w:ind w:left="4420" w:hanging="180"/>
      </w:pPr>
    </w:lvl>
    <w:lvl w:ilvl="6" w:tplc="240A000F" w:tentative="1">
      <w:start w:val="1"/>
      <w:numFmt w:val="decimal"/>
      <w:lvlText w:val="%7."/>
      <w:lvlJc w:val="left"/>
      <w:pPr>
        <w:ind w:left="5140" w:hanging="360"/>
      </w:pPr>
    </w:lvl>
    <w:lvl w:ilvl="7" w:tplc="240A0019" w:tentative="1">
      <w:start w:val="1"/>
      <w:numFmt w:val="lowerLetter"/>
      <w:lvlText w:val="%8."/>
      <w:lvlJc w:val="left"/>
      <w:pPr>
        <w:ind w:left="5860" w:hanging="360"/>
      </w:pPr>
    </w:lvl>
    <w:lvl w:ilvl="8" w:tplc="24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BCC1FE8"/>
    <w:multiLevelType w:val="multilevel"/>
    <w:tmpl w:val="918C24F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1A6A39"/>
    <w:multiLevelType w:val="hybridMultilevel"/>
    <w:tmpl w:val="CF4876E2"/>
    <w:lvl w:ilvl="0" w:tplc="240A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35233633"/>
    <w:multiLevelType w:val="hybridMultilevel"/>
    <w:tmpl w:val="739E0396"/>
    <w:lvl w:ilvl="0" w:tplc="DBDC4B48">
      <w:numFmt w:val="bullet"/>
      <w:lvlText w:val="-"/>
      <w:lvlJc w:val="left"/>
      <w:pPr>
        <w:ind w:left="460" w:hanging="360"/>
      </w:pPr>
      <w:rPr>
        <w:rFonts w:ascii="Bookman Old Style" w:eastAsia="Arial" w:hAnsi="Bookman Old Style" w:cs="Arial" w:hint="default"/>
      </w:rPr>
    </w:lvl>
    <w:lvl w:ilvl="1" w:tplc="240A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46C00065"/>
    <w:multiLevelType w:val="hybridMultilevel"/>
    <w:tmpl w:val="86003B88"/>
    <w:lvl w:ilvl="0" w:tplc="240A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92D1A63"/>
    <w:multiLevelType w:val="multilevel"/>
    <w:tmpl w:val="E5B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81934"/>
    <w:multiLevelType w:val="hybridMultilevel"/>
    <w:tmpl w:val="4EDCD7CE"/>
    <w:lvl w:ilvl="0" w:tplc="240A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68E26FAE"/>
    <w:multiLevelType w:val="hybridMultilevel"/>
    <w:tmpl w:val="9CEC74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17AAD"/>
    <w:multiLevelType w:val="hybridMultilevel"/>
    <w:tmpl w:val="8E26AA08"/>
    <w:lvl w:ilvl="0" w:tplc="532054B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706179520">
    <w:abstractNumId w:val="1"/>
  </w:num>
  <w:num w:numId="2" w16cid:durableId="1684895612">
    <w:abstractNumId w:val="2"/>
  </w:num>
  <w:num w:numId="3" w16cid:durableId="249974581">
    <w:abstractNumId w:val="3"/>
  </w:num>
  <w:num w:numId="4" w16cid:durableId="257567102">
    <w:abstractNumId w:val="0"/>
  </w:num>
  <w:num w:numId="5" w16cid:durableId="1897349670">
    <w:abstractNumId w:val="6"/>
  </w:num>
  <w:num w:numId="6" w16cid:durableId="1603493408">
    <w:abstractNumId w:val="8"/>
  </w:num>
  <w:num w:numId="7" w16cid:durableId="1798794772">
    <w:abstractNumId w:val="4"/>
  </w:num>
  <w:num w:numId="8" w16cid:durableId="796989979">
    <w:abstractNumId w:val="5"/>
  </w:num>
  <w:num w:numId="9" w16cid:durableId="11943410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6EB"/>
    <w:rsid w:val="001D543F"/>
    <w:rsid w:val="003E0088"/>
    <w:rsid w:val="006A56EB"/>
    <w:rsid w:val="00742B9D"/>
    <w:rsid w:val="00AF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732E"/>
  <w15:docId w15:val="{ABA63BD9-9D78-4B19-92C7-7CB59844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74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LUNA</dc:creator>
  <cp:lastModifiedBy>ANA LUNA</cp:lastModifiedBy>
  <cp:revision>2</cp:revision>
  <dcterms:created xsi:type="dcterms:W3CDTF">2025-08-07T05:00:00Z</dcterms:created>
  <dcterms:modified xsi:type="dcterms:W3CDTF">2025-08-07T05:00:00Z</dcterms:modified>
</cp:coreProperties>
</file>