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Calibri" w:hAnsi="Calibri"/>
          <w:b/>
          <w:color w:val="2B4C7E"/>
          <w:sz w:val="44"/>
        </w:rPr>
        <w:t>SoloOS — Requirements Engineering Report</w:t>
      </w:r>
    </w:p>
    <w:p>
      <w:pPr>
        <w:spacing w:after="80" w:line="276" w:lineRule="auto"/>
      </w:pPr>
      <w:r>
        <w:rPr>
          <w:rFonts w:ascii="Calibri" w:hAnsi="Calibri"/>
          <w:b/>
          <w:i w:val="0"/>
          <w:sz w:val="22"/>
        </w:rPr>
        <w:t>Author: Anay Sharma | Email: anaysharmabiz@gmail.com</w:t>
      </w:r>
    </w:p>
    <w:p>
      <w:pPr>
        <w:spacing w:after="80" w:line="276" w:lineRule="auto"/>
      </w:pPr>
      <w:r>
        <w:rPr>
          <w:rFonts w:ascii="Calibri" w:hAnsi="Calibri"/>
          <w:b w:val="0"/>
          <w:i/>
          <w:sz w:val="20"/>
        </w:rPr>
        <w:t>Document ID: RR-SoloOS-2026 | Version: 1.0 | Date: September 12, 2026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sz w:val="20"/>
        </w:rPr>
        <w:t>Repository: https://github.com/AnaySharmaCEO/SoloOS | License: MIT License</w:t>
      </w:r>
    </w:p>
    <w:p/>
    <w:p>
      <w:pPr>
        <w:pStyle w:val="Heading1"/>
        <w:keepNext/>
      </w:pPr>
      <w:r>
        <w:t>1. Executive Summary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This Requirements Engineering Report articulates the business necessity, stakeholder elicitation findings, competitive landscape analysis, and verified functional baseline for SoloOS. SoloOS is an integrated, single-operator sales management and AI-assisted client acquisition platform engineered specifically for independent professionals, solo consultants, and boutique service providers.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The engineering lifecycle is executed across two distinct phases: Phase 1 establishes the delivered core CRM operations (pipeline tracking, follow-ups, pricing calculations, proposal states, and subscription billing). Phase 2 augments this foundation with contextual artificial intelligence (Deal Radar, pricing intelligence, relationship health evaluation, AI follow-up drafting, and revenue debriefs) under an inviolable human-in-the-loop guarantee.</w:t>
      </w:r>
    </w:p>
    <w:p>
      <w:pPr>
        <w:pStyle w:val="Heading1"/>
        <w:keepNext/>
      </w:pPr>
      <w:r>
        <w:t>2. Problem Statement &amp; Freelancer Elicitation Context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Modern solo freelancers frequently operate in high-friction environments characterized by fragmented toolchains. Without enterprise sales teams or administrative support, freelancers lose significant billable time and prospective deal value due to missed follow-ups, arbitrary pricing strategies, and lack of client relationship visibility. Conventional enterprise CRMs (e.g., Salesforce, HubSpot) are overwhelmingly complex, expensive, and designed for multi-tiered corporate sales teams rather than solo operators.</w:t>
      </w:r>
    </w:p>
    <w:p>
      <w:pPr>
        <w:pStyle w:val="Heading1"/>
        <w:keepNext/>
      </w:pPr>
      <w:r>
        <w:t>3. Current Freelancer Business Tool Landscape Analysis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During empirical requirements elicitation (N=25 solo service providers), participants documented their existing operational workflows. The results conclusively demonstrate heavy reliance on manual spreadsheets and ad-hoc notes, creating substantial operational vulnerabilities that SoloOS systematically resolves.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fill="2B4C7E"/>
          </w:tcPr>
          <w:p>
            <w:pPr>
              <w:spacing w:after="60" w:before="6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Business Function</w:t>
            </w:r>
          </w:p>
        </w:tc>
        <w:tc>
          <w:tcPr>
            <w:tcW w:type="dxa" w:w="1872"/>
            <w:shd w:fill="2B4C7E"/>
          </w:tcPr>
          <w:p>
            <w:pPr>
              <w:spacing w:after="60" w:before="6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Current Tooling</w:t>
            </w:r>
          </w:p>
        </w:tc>
        <w:tc>
          <w:tcPr>
            <w:tcW w:type="dxa" w:w="1008"/>
            <w:shd w:fill="2B4C7E"/>
          </w:tcPr>
          <w:p>
            <w:pPr>
              <w:spacing w:after="60" w:before="6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Survey Usage %</w:t>
            </w:r>
          </w:p>
        </w:tc>
        <w:tc>
          <w:tcPr>
            <w:tcW w:type="dxa" w:w="2160"/>
            <w:shd w:fill="2B4C7E"/>
          </w:tcPr>
          <w:p>
            <w:pPr>
              <w:spacing w:after="60" w:before="6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Deficiencies &amp; Operational Risks</w:t>
            </w:r>
          </w:p>
        </w:tc>
        <w:tc>
          <w:tcPr>
            <w:tcW w:type="dxa" w:w="2448"/>
            <w:shd w:fill="2B4C7E"/>
          </w:tcPr>
          <w:p>
            <w:pPr>
              <w:spacing w:after="60" w:before="6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SoloOS Engineered Capability</w:t>
            </w:r>
          </w:p>
        </w:tc>
      </w:tr>
      <w:tr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Lead Pipeline Tracking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Excel / Google Sheets, Trello, sticky notes</w:t>
            </w:r>
          </w:p>
        </w:tc>
        <w:tc>
          <w:tcPr>
            <w:tcW w:type="dxa" w:w="100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68%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Zero automated deal alerts, static status, no momentum visibility</w:t>
            </w:r>
          </w:p>
        </w:tc>
        <w:tc>
          <w:tcPr>
            <w:tcW w:type="dxa" w:w="244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Interactive Kanban &amp; tabular pipeline with stage momentum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Follow-Up Scheduling</w:t>
            </w:r>
          </w:p>
        </w:tc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Calendar apps, phone reminders, inbox drafts</w:t>
            </w:r>
          </w:p>
        </w:tc>
        <w:tc>
          <w:tcPr>
            <w:tcW w:type="dxa" w:w="100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72%</w:t>
            </w:r>
          </w:p>
        </w:tc>
        <w:tc>
          <w:tcPr>
            <w:tcW w:type="dxa" w:w="2160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Missed due dates, dropped prospects, zero outreach logging</w:t>
            </w:r>
          </w:p>
        </w:tc>
        <w:tc>
          <w:tcPr>
            <w:tcW w:type="dxa" w:w="244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Urgency-weighted follow-up tracker with overdue alerts</w:t>
            </w:r>
          </w:p>
        </w:tc>
      </w:tr>
      <w:tr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Project Pricing / Scoping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Ad-hoc guesswork, static notes, chat history</w:t>
            </w:r>
          </w:p>
        </w:tc>
        <w:tc>
          <w:tcPr>
            <w:tcW w:type="dxa" w:w="100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61%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Inconsistent quotes, severe underpricing, scope creep vulnerability</w:t>
            </w:r>
          </w:p>
        </w:tc>
        <w:tc>
          <w:tcPr>
            <w:tcW w:type="dxa" w:w="244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Parameter-based Pricing Estimator with suggested fee bands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Proposal Lifecycle</w:t>
            </w:r>
          </w:p>
        </w:tc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Google Docs, PDFs via email, Notion</w:t>
            </w:r>
          </w:p>
        </w:tc>
        <w:tc>
          <w:tcPr>
            <w:tcW w:type="dxa" w:w="100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55%</w:t>
            </w:r>
          </w:p>
        </w:tc>
        <w:tc>
          <w:tcPr>
            <w:tcW w:type="dxa" w:w="2160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No status tracking, uncertain conversion timeline, manual records</w:t>
            </w:r>
          </w:p>
        </w:tc>
        <w:tc>
          <w:tcPr>
            <w:tcW w:type="dxa" w:w="244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Lifecycle proposal tracking linked to prospective deals</w:t>
            </w:r>
          </w:p>
        </w:tc>
      </w:tr>
      <w:tr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Client Record Keeping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Scattered contact lists, email threads</w:t>
            </w:r>
          </w:p>
        </w:tc>
        <w:tc>
          <w:tcPr>
            <w:tcW w:type="dxa" w:w="100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60%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Fragmented client history, no centralized lifetime revenue view</w:t>
            </w:r>
          </w:p>
        </w:tc>
        <w:tc>
          <w:tcPr>
            <w:tcW w:type="dxa" w:w="244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Automatic conversion of won leads into structured client entities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Executive Performance</w:t>
            </w:r>
          </w:p>
        </w:tc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Manual weekly spreadsheet consolidation, none</w:t>
            </w:r>
          </w:p>
        </w:tc>
        <w:tc>
          <w:tcPr>
            <w:tcW w:type="dxa" w:w="100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45%</w:t>
            </w:r>
          </w:p>
        </w:tc>
        <w:tc>
          <w:tcPr>
            <w:tcW w:type="dxa" w:w="2160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Opaque pipeline health, inaccurate income forecasting</w:t>
            </w:r>
          </w:p>
        </w:tc>
        <w:tc>
          <w:tcPr>
            <w:tcW w:type="dxa" w:w="244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Unified Executive Dashboard with pipeline value &amp; win rates</w:t>
            </w:r>
          </w:p>
        </w:tc>
      </w:tr>
      <w:tr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Workspace Archives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Manual copy-pasting, screenshot archives</w:t>
            </w:r>
          </w:p>
        </w:tc>
        <w:tc>
          <w:tcPr>
            <w:tcW w:type="dxa" w:w="100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30%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Vendor lock-in, data loss risks upon system changes</w:t>
            </w:r>
          </w:p>
        </w:tc>
        <w:tc>
          <w:tcPr>
            <w:tcW w:type="dxa" w:w="244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One-click structured workspace export (CSV &amp; JSON format)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Subscription Management</w:t>
            </w:r>
          </w:p>
        </w:tc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Manual invoices, PayPal links, direct transfers</w:t>
            </w:r>
          </w:p>
        </w:tc>
        <w:tc>
          <w:tcPr>
            <w:tcW w:type="dxa" w:w="100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40%</w:t>
            </w:r>
          </w:p>
        </w:tc>
        <w:tc>
          <w:tcPr>
            <w:tcW w:type="dxa" w:w="2160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Manual reconciliation, billing friction, payment delays</w:t>
            </w:r>
          </w:p>
        </w:tc>
        <w:tc>
          <w:tcPr>
            <w:tcW w:type="dxa" w:w="244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Integrated tiered subscription checkout via Payment Adapter</w:t>
            </w:r>
          </w:p>
        </w:tc>
      </w:tr>
      <w:tr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Deal Prioritization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Intuition, subjective memory, inbox recency</w:t>
            </w:r>
          </w:p>
        </w:tc>
        <w:tc>
          <w:tcPr>
            <w:tcW w:type="dxa" w:w="100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70%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High-value deals neglected, focus on low-yield inquiries</w:t>
            </w:r>
          </w:p>
        </w:tc>
        <w:tc>
          <w:tcPr>
            <w:tcW w:type="dxa" w:w="244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AI Deal Radar scoring active leads by engagement &amp; value (Phase 2)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Pricing Intelligence</w:t>
            </w:r>
          </w:p>
        </w:tc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Online freelancer forums, gut feeling</w:t>
            </w:r>
          </w:p>
        </w:tc>
        <w:tc>
          <w:tcPr>
            <w:tcW w:type="dxa" w:w="100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55%</w:t>
            </w:r>
          </w:p>
        </w:tc>
        <w:tc>
          <w:tcPr>
            <w:tcW w:type="dxa" w:w="2160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Under-bidding enterprise scopes, over-bidding startups</w:t>
            </w:r>
          </w:p>
        </w:tc>
        <w:tc>
          <w:tcPr>
            <w:tcW w:type="dxa" w:w="244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Personalized AI Pricing recommendations from client scope (Phase 2)</w:t>
            </w:r>
          </w:p>
        </w:tc>
      </w:tr>
      <w:tr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Client Relationship Health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Subjective impression after friction occurs</w:t>
            </w:r>
          </w:p>
        </w:tc>
        <w:tc>
          <w:tcPr>
            <w:tcW w:type="dxa" w:w="100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65%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Silent client churn, late discovery of relationship decay</w:t>
            </w:r>
          </w:p>
        </w:tc>
        <w:tc>
          <w:tcPr>
            <w:tcW w:type="dxa" w:w="244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Computed AI Client Health Score based on recency &amp; metrics (Phase 2)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Outreach Message Drafting</w:t>
            </w:r>
          </w:p>
        </w:tc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Drafting each message manually from scratch</w:t>
            </w:r>
          </w:p>
        </w:tc>
        <w:tc>
          <w:tcPr>
            <w:tcW w:type="dxa" w:w="100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80%</w:t>
            </w:r>
          </w:p>
        </w:tc>
        <w:tc>
          <w:tcPr>
            <w:tcW w:type="dxa" w:w="2160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Time-consuming context recall, delayed follow-up outreach</w:t>
            </w:r>
          </w:p>
        </w:tc>
        <w:tc>
          <w:tcPr>
            <w:tcW w:type="dxa" w:w="244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AI-drafted context-aware messages with human-in-the-loop review (Phase 2)</w:t>
            </w:r>
          </w:p>
        </w:tc>
      </w:tr>
      <w:tr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Weekly Revenue Debrief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Sporadic end-of-month review, none</w:t>
            </w:r>
          </w:p>
        </w:tc>
        <w:tc>
          <w:tcPr>
            <w:tcW w:type="dxa" w:w="100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35%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Lack of strategic reflection, blind spots in sales velocity</w:t>
            </w:r>
          </w:p>
        </w:tc>
        <w:tc>
          <w:tcPr>
            <w:tcW w:type="dxa" w:w="244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Automated weekly executive revenue summary &amp; risk analysis (Phase 2)</w:t>
            </w:r>
          </w:p>
        </w:tc>
      </w:tr>
    </w:tbl>
    <w:p/>
    <w:p>
      <w:pPr>
        <w:pStyle w:val="Heading1"/>
        <w:keepNext/>
      </w:pPr>
      <w:r>
        <w:t>4. Elicitation Survey Insights (N=25 Field Study)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The 14-point requirements questionnaire generated several vital empirical insights:</w:t>
      </w:r>
    </w:p>
    <w:p>
      <w:pPr>
        <w:pStyle w:val="ListBullet"/>
      </w:pPr>
      <w:r>
        <w:rPr>
          <w:rFonts w:ascii="Calibri" w:hAnsi="Calibri"/>
          <w:sz w:val="20"/>
        </w:rPr>
        <w:t>Follow-up Failure Rate: 80% of respondents admitted to losing at least one prospective contract per quarter solely due to disorganized or missed follow-ups.</w:t>
      </w:r>
    </w:p>
    <w:p>
      <w:pPr>
        <w:pStyle w:val="ListBullet"/>
      </w:pPr>
      <w:r>
        <w:rPr>
          <w:rFonts w:ascii="Calibri" w:hAnsi="Calibri"/>
          <w:sz w:val="20"/>
        </w:rPr>
        <w:t>Tooling Fragmentation: 68% rely on combinations of spreadsheets and notes apps; only 12% had ever successfully sustained usage of enterprise CRMs.</w:t>
      </w:r>
    </w:p>
    <w:p>
      <w:pPr>
        <w:pStyle w:val="ListBullet"/>
      </w:pPr>
      <w:r>
        <w:rPr>
          <w:rFonts w:ascii="Calibri" w:hAnsi="Calibri"/>
          <w:sz w:val="20"/>
        </w:rPr>
        <w:t>Pricing Anxiety: 61% expressed consistent anxiety regarding project pricing, indicating a strong demand for scoped fee recommendations.</w:t>
      </w:r>
    </w:p>
    <w:p>
      <w:pPr>
        <w:pStyle w:val="ListBullet"/>
      </w:pPr>
      <w:r>
        <w:rPr>
          <w:rFonts w:ascii="Calibri" w:hAnsi="Calibri"/>
          <w:sz w:val="20"/>
        </w:rPr>
        <w:t>Demand for AI Assistance: 75% indicated enthusiastic interest in automated follow-up drafts and opportunity prioritization.</w:t>
      </w:r>
    </w:p>
    <w:p>
      <w:pPr>
        <w:pStyle w:val="ListBullet"/>
      </w:pPr>
      <w:r>
        <w:rPr>
          <w:rFonts w:ascii="Calibri" w:hAnsi="Calibri"/>
          <w:sz w:val="20"/>
        </w:rPr>
        <w:t>Mandatory Human Control: 90% insisted that no autonomous AI agent should ever send an outbound message without explicit user review and one-click authorization.</w:t>
      </w:r>
    </w:p>
    <w:p>
      <w:pPr>
        <w:pStyle w:val="Heading1"/>
        <w:keepNext/>
      </w:pPr>
      <w:r>
        <w:t>5. Formal Functional Requirements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2B4C7E"/>
          </w:tcPr>
          <w:p>
            <w:pPr>
              <w:spacing w:after="60" w:before="6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FR ID</w:t>
            </w:r>
          </w:p>
        </w:tc>
        <w:tc>
          <w:tcPr>
            <w:tcW w:type="dxa" w:w="1872"/>
            <w:shd w:fill="2B4C7E"/>
          </w:tcPr>
          <w:p>
            <w:pPr>
              <w:spacing w:after="60" w:before="6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Subsystem</w:t>
            </w:r>
          </w:p>
        </w:tc>
        <w:tc>
          <w:tcPr>
            <w:tcW w:type="dxa" w:w="1152"/>
            <w:shd w:fill="2B4C7E"/>
          </w:tcPr>
          <w:p>
            <w:pPr>
              <w:spacing w:after="60" w:before="6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888"/>
            <w:shd w:fill="2B4C7E"/>
          </w:tcPr>
          <w:p>
            <w:pPr>
              <w:spacing w:after="60" w:before="6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Functional Requirement Specification</w:t>
            </w:r>
          </w:p>
        </w:tc>
        <w:tc>
          <w:tcPr>
            <w:tcW w:type="dxa" w:w="1440"/>
            <w:shd w:fill="2B4C7E"/>
          </w:tcPr>
          <w:p>
            <w:pPr>
              <w:spacing w:after="60" w:before="6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Lifecycle SDLC</w:t>
            </w:r>
          </w:p>
        </w:tc>
      </w:tr>
      <w:tr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FR-01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Identity &amp; Access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88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Secure user registration, authentication, and session persistence via external Identity Provider.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Phase 1 Foundation</w:t>
            </w:r>
          </w:p>
        </w:tc>
      </w:tr>
      <w:tr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FR-02</w:t>
            </w:r>
          </w:p>
        </w:tc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Lead Pipeline</w:t>
            </w:r>
          </w:p>
        </w:tc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88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Multi-stage visual pipeline supporting creation, editing, and tabular filtering of prospective deals.</w:t>
            </w:r>
          </w:p>
        </w:tc>
        <w:tc>
          <w:tcPr>
            <w:tcW w:type="dxa" w:w="1440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Phase 1 Foundation</w:t>
            </w:r>
          </w:p>
        </w:tc>
      </w:tr>
      <w:tr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FR-03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Lead Pipeline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88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Interactive drag-and-drop Kanban interface for fluid deal stage advancement.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Phase 1 Foundation</w:t>
            </w:r>
          </w:p>
        </w:tc>
      </w:tr>
      <w:tr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FR-04</w:t>
            </w:r>
          </w:p>
        </w:tc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Follow-Up Actions</w:t>
            </w:r>
          </w:p>
        </w:tc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88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Follow-up action scheduler with due dates, contact channels, and urgency tier assignments.</w:t>
            </w:r>
          </w:p>
        </w:tc>
        <w:tc>
          <w:tcPr>
            <w:tcW w:type="dxa" w:w="1440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Phase 1 Foundation</w:t>
            </w:r>
          </w:p>
        </w:tc>
      </w:tr>
      <w:tr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FR-05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Follow-Up Actions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88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Detailed interaction logging capturing conversation notes, outcomes, and completion timestamps.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Phase 1 Foundation</w:t>
            </w:r>
          </w:p>
        </w:tc>
      </w:tr>
      <w:tr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FR-06</w:t>
            </w:r>
          </w:p>
        </w:tc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Pricing Estimator</w:t>
            </w:r>
          </w:p>
        </w:tc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88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Project scoping calculator computing recommended minimum and maximum fee ranges.</w:t>
            </w:r>
          </w:p>
        </w:tc>
        <w:tc>
          <w:tcPr>
            <w:tcW w:type="dxa" w:w="1440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Phase 1 Foundation</w:t>
            </w:r>
          </w:p>
        </w:tc>
      </w:tr>
      <w:tr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FR-07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Proposal Tracking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88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Proposal status tracking across Draft, Sent, Won, and Lost lifecycle states.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Phase 1 Foundation</w:t>
            </w:r>
          </w:p>
        </w:tc>
      </w:tr>
      <w:tr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FR-08</w:t>
            </w:r>
          </w:p>
        </w:tc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Client Management</w:t>
            </w:r>
          </w:p>
        </w:tc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88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Automated instantiation of client records upon transition of lead to Won state.</w:t>
            </w:r>
          </w:p>
        </w:tc>
        <w:tc>
          <w:tcPr>
            <w:tcW w:type="dxa" w:w="1440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Phase 1 Foundation</w:t>
            </w:r>
          </w:p>
        </w:tc>
      </w:tr>
      <w:tr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FR-09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Executive Dashboard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88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Consolidated KPI visualization displaying pipeline value, revenue, and urgent follow-up tasks.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Phase 1 Foundation</w:t>
            </w:r>
          </w:p>
        </w:tc>
      </w:tr>
      <w:tr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FR-10</w:t>
            </w:r>
          </w:p>
        </w:tc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Workspace Archiving</w:t>
            </w:r>
          </w:p>
        </w:tc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388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Structured data export of all user workspace records into portable CSV and JSON formats.</w:t>
            </w:r>
          </w:p>
        </w:tc>
        <w:tc>
          <w:tcPr>
            <w:tcW w:type="dxa" w:w="1440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Phase 1 Foundation</w:t>
            </w:r>
          </w:p>
        </w:tc>
      </w:tr>
      <w:tr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FR-11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Subscription Tiering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88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Dynamic rendering of Free vs. Pro entitlement tiers with pricing and feature matrices.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Phase 1 Foundation</w:t>
            </w:r>
          </w:p>
        </w:tc>
      </w:tr>
      <w:tr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FR-12</w:t>
            </w:r>
          </w:p>
        </w:tc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Payment Checkout</w:t>
            </w:r>
          </w:p>
        </w:tc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88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Secure server-side payment order initialization using Payment Gateway integration adapter.</w:t>
            </w:r>
          </w:p>
        </w:tc>
        <w:tc>
          <w:tcPr>
            <w:tcW w:type="dxa" w:w="1440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Phase 1 Foundation</w:t>
            </w:r>
          </w:p>
        </w:tc>
      </w:tr>
      <w:tr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FR-13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Webhook Verification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88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Exclusive subscription state mutation based upon cryptographically verified payment webhooks.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Phase 1 Foundation</w:t>
            </w:r>
          </w:p>
        </w:tc>
      </w:tr>
      <w:tr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FR-AI-01</w:t>
            </w:r>
          </w:p>
        </w:tc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Deal Radar</w:t>
            </w:r>
          </w:p>
        </w:tc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88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Algorithmic opportunity scoring prioritizing leads by engagement recency and deal volume.</w:t>
            </w:r>
          </w:p>
        </w:tc>
        <w:tc>
          <w:tcPr>
            <w:tcW w:type="dxa" w:w="1440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Phase 2 Extension</w:t>
            </w:r>
          </w:p>
        </w:tc>
      </w:tr>
      <w:tr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FR-AI-02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Pricing Intelligence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88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Contextual AI pricing recommendations derived from client history and scoping parameters.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Phase 2 Extension</w:t>
            </w:r>
          </w:p>
        </w:tc>
      </w:tr>
      <w:tr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FR-AI-03</w:t>
            </w:r>
          </w:p>
        </w:tc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Client Health Scoring</w:t>
            </w:r>
          </w:p>
        </w:tc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88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Computed health score assessing relationship vitality, communication cadence, and revenue.</w:t>
            </w:r>
          </w:p>
        </w:tc>
        <w:tc>
          <w:tcPr>
            <w:tcW w:type="dxa" w:w="1440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Phase 2 Extension</w:t>
            </w:r>
          </w:p>
        </w:tc>
      </w:tr>
      <w:tr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FR-AI-04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Follow-Up AI Drafting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88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Automated contextual drafting of tailored follow-up messages via AI Orchestration layer.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Phase 2 Extension</w:t>
            </w:r>
          </w:p>
        </w:tc>
      </w:tr>
      <w:tr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FR-AI-05</w:t>
            </w:r>
          </w:p>
        </w:tc>
        <w:tc>
          <w:tcPr>
            <w:tcW w:type="dxa" w:w="187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Human-in-the-Loop</w:t>
            </w:r>
          </w:p>
        </w:tc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Critical</w:t>
            </w:r>
          </w:p>
        </w:tc>
        <w:tc>
          <w:tcPr>
            <w:tcW w:type="dxa" w:w="388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Mandatory user review interface preventing any AI message dispatch without explicit confirmation.</w:t>
            </w:r>
          </w:p>
        </w:tc>
        <w:tc>
          <w:tcPr>
            <w:tcW w:type="dxa" w:w="1440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Phase 2 Extension</w:t>
            </w:r>
          </w:p>
        </w:tc>
      </w:tr>
      <w:tr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FR-AI-06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Revenue Debriefing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388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Automated weekly executive revenue debrief highlighting closed deals, pipeline velocity, and risks.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Phase 2 Extension</w:t>
            </w:r>
          </w:p>
        </w:tc>
      </w:tr>
    </w:tbl>
    <w:p/>
    <w:p>
      <w:pPr>
        <w:pStyle w:val="Heading1"/>
        <w:keepNext/>
      </w:pPr>
      <w:r>
        <w:t>6. Non-Functional Requirements &amp; Engineering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B4C7E"/>
          </w:tcPr>
          <w:p>
            <w:pPr>
              <w:spacing w:after="60" w:before="6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NFR ID</w:t>
            </w:r>
          </w:p>
        </w:tc>
        <w:tc>
          <w:tcPr>
            <w:tcW w:type="dxa" w:w="1584"/>
            <w:shd w:fill="2B4C7E"/>
          </w:tcPr>
          <w:p>
            <w:pPr>
              <w:spacing w:after="60" w:before="6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4608"/>
            <w:shd w:fill="2B4C7E"/>
          </w:tcPr>
          <w:p>
            <w:pPr>
              <w:spacing w:after="60" w:before="6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Standard Specification</w:t>
            </w:r>
          </w:p>
        </w:tc>
        <w:tc>
          <w:tcPr>
            <w:tcW w:type="dxa" w:w="2304"/>
            <w:shd w:fill="2B4C7E"/>
          </w:tcPr>
          <w:p>
            <w:pPr>
              <w:spacing w:after="60" w:before="6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Methodology</w:t>
            </w:r>
          </w:p>
        </w:tc>
      </w:tr>
      <w:tr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NFR-01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Performance</w:t>
            </w:r>
          </w:p>
        </w:tc>
        <w:tc>
          <w:tcPr>
            <w:tcW w:type="dxa" w:w="460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Core views (Pipeline, Dashboard) render within 2.0s under standard network conditions.</w:t>
            </w:r>
          </w:p>
        </w:tc>
        <w:tc>
          <w:tcPr>
            <w:tcW w:type="dxa" w:w="2304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Automated browser performance benchmarking</w:t>
            </w:r>
          </w:p>
        </w:tc>
      </w:tr>
      <w:tr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NFR-02</w:t>
            </w:r>
          </w:p>
        </w:tc>
        <w:tc>
          <w:tcPr>
            <w:tcW w:type="dxa" w:w="1584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Security</w:t>
            </w:r>
          </w:p>
        </w:tc>
        <w:tc>
          <w:tcPr>
            <w:tcW w:type="dxa" w:w="460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Tenant data separation enforced strictly via Database Row Level Security (RLS) at engine level.</w:t>
            </w:r>
          </w:p>
        </w:tc>
        <w:tc>
          <w:tcPr>
            <w:tcW w:type="dxa" w:w="2304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Multi-tenant authorization penetration tests</w:t>
            </w:r>
          </w:p>
        </w:tc>
      </w:tr>
      <w:tr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NFR-03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Security</w:t>
            </w:r>
          </w:p>
        </w:tc>
        <w:tc>
          <w:tcPr>
            <w:tcW w:type="dxa" w:w="460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Zero trust payment updates: client callbacks strictly UX-only; webhooks verified with HMAC.</w:t>
            </w:r>
          </w:p>
        </w:tc>
        <w:tc>
          <w:tcPr>
            <w:tcW w:type="dxa" w:w="2304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Replay attack and tampering simulation tests</w:t>
            </w:r>
          </w:p>
        </w:tc>
      </w:tr>
      <w:tr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NFR-04</w:t>
            </w:r>
          </w:p>
        </w:tc>
        <w:tc>
          <w:tcPr>
            <w:tcW w:type="dxa" w:w="1584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Availability</w:t>
            </w:r>
          </w:p>
        </w:tc>
        <w:tc>
          <w:tcPr>
            <w:tcW w:type="dxa" w:w="460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Platform architecture targets minimum 99.5% monthly application uptime SLA.</w:t>
            </w:r>
          </w:p>
        </w:tc>
        <w:tc>
          <w:tcPr>
            <w:tcW w:type="dxa" w:w="2304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Continuous synthetic uptime monitoring</w:t>
            </w:r>
          </w:p>
        </w:tc>
      </w:tr>
      <w:tr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NFR-05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Accessibility</w:t>
            </w:r>
          </w:p>
        </w:tc>
        <w:tc>
          <w:tcPr>
            <w:tcW w:type="dxa" w:w="460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User interface components achieve full WCAG 2.1 AA compliance.</w:t>
            </w:r>
          </w:p>
        </w:tc>
        <w:tc>
          <w:tcPr>
            <w:tcW w:type="dxa" w:w="2304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Automated Axe-core accessibility scans</w:t>
            </w:r>
          </w:p>
        </w:tc>
      </w:tr>
      <w:tr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NFR-06</w:t>
            </w:r>
          </w:p>
        </w:tc>
        <w:tc>
          <w:tcPr>
            <w:tcW w:type="dxa" w:w="1584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AI Safety</w:t>
            </w:r>
          </w:p>
        </w:tc>
        <w:tc>
          <w:tcPr>
            <w:tcW w:type="dxa" w:w="460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No outbound communication dispatched without explicit user click authorization.</w:t>
            </w:r>
          </w:p>
        </w:tc>
        <w:tc>
          <w:tcPr>
            <w:tcW w:type="dxa" w:w="2304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Architectural isolation and boundary tests</w:t>
            </w:r>
          </w:p>
        </w:tc>
      </w:tr>
      <w:tr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NFR-07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AI Privacy</w:t>
            </w:r>
          </w:p>
        </w:tc>
        <w:tc>
          <w:tcPr>
            <w:tcW w:type="dxa" w:w="4608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Zero raw Personally Identifiable Information (PII) transmitted in AI prompts.</w:t>
            </w:r>
          </w:p>
        </w:tc>
        <w:tc>
          <w:tcPr>
            <w:tcW w:type="dxa" w:w="2304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Data sanitization inspection test cases</w:t>
            </w:r>
          </w:p>
        </w:tc>
      </w:tr>
      <w:tr>
        <w:tc>
          <w:tcPr>
            <w:tcW w:type="dxa" w:w="115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NFR-08</w:t>
            </w:r>
          </w:p>
        </w:tc>
        <w:tc>
          <w:tcPr>
            <w:tcW w:type="dxa" w:w="1584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Regulatory</w:t>
            </w:r>
          </w:p>
        </w:tc>
        <w:tc>
          <w:tcPr>
            <w:tcW w:type="dxa" w:w="460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Complete data portability and deletion support adhering to GDPR and CCPA standards.</w:t>
            </w:r>
          </w:p>
        </w:tc>
        <w:tc>
          <w:tcPr>
            <w:tcW w:type="dxa" w:w="2304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sz w:val="19"/>
              </w:rPr>
              <w:t>Data export and privacy erasure audit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SoloOS — Requirements Report</dc:title>
  <dc:subject/>
  <dc:creator>Anay Sharma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