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Calibri" w:hAnsi="Calibri"/>
          <w:b/>
          <w:color w:val="2B4C7E"/>
          <w:sz w:val="44"/>
        </w:rPr>
        <w:t>SoloOS — Unified Modeling Language (UML) Specification</w:t>
      </w:r>
    </w:p>
    <w:p>
      <w:pPr>
        <w:spacing w:after="80" w:line="276" w:lineRule="auto"/>
      </w:pPr>
      <w:r>
        <w:rPr>
          <w:rFonts w:ascii="Calibri" w:hAnsi="Calibri"/>
          <w:b/>
          <w:i w:val="0"/>
          <w:sz w:val="22"/>
        </w:rPr>
        <w:t>Author: Anay Sharma | Email: anaysharmabiz@gmail.com</w:t>
      </w:r>
    </w:p>
    <w:p>
      <w:pPr>
        <w:spacing w:after="80" w:line="276" w:lineRule="auto"/>
      </w:pPr>
      <w:r>
        <w:rPr>
          <w:rFonts w:ascii="Calibri" w:hAnsi="Calibri"/>
          <w:b w:val="0"/>
          <w:i/>
          <w:sz w:val="20"/>
        </w:rPr>
        <w:t>Version: 0.2 | Date: September 12, 2026 | Project: SoloOS</w:t>
      </w:r>
    </w:p>
    <w:p>
      <w:pPr>
        <w:spacing w:after="80" w:line="276" w:lineRule="auto"/>
      </w:pPr>
      <w:r>
        <w:rPr>
          <w:rFonts w:ascii="Calibri" w:hAnsi="Calibri"/>
          <w:b w:val="0"/>
          <w:i w:val="0"/>
          <w:sz w:val="20"/>
        </w:rPr>
        <w:t>Repository: https://github.com/AnaySharmaCEO/SoloOS | License: MIT License</w:t>
      </w:r>
    </w:p>
    <w:p/>
    <w:p>
      <w:pPr>
        <w:pStyle w:val="Heading1"/>
        <w:keepNext/>
      </w:pPr>
      <w:r>
        <w:t>Document Overview &amp; Architectural Scope</w:t>
      </w:r>
    </w:p>
    <w:p>
      <w:pPr>
        <w:spacing w:after="80" w:line="276" w:lineRule="auto"/>
      </w:pPr>
      <w:r>
        <w:rPr>
          <w:rFonts w:ascii="Calibri" w:hAnsi="Calibri"/>
          <w:b w:val="0"/>
          <w:i w:val="0"/>
          <w:sz w:val="21"/>
        </w:rPr>
        <w:t>This document compiles all 12 architectural, behavioral, and structural UML models for SoloOS. The models are structured across two clear SDLC phases: Diagrams 1–8 cover the delivered Phase 1 Base CRM foundation, while Diagrams 9–12 specify the in-progress Phase 2 AI-Powered CRM capabilities. Each diagram is rendered as a standalone high-resolution artifact followed by its architectural rationale.</w:t>
      </w:r>
    </w:p>
    <w:p>
      <w:r>
        <w:br w:type="page"/>
      </w:r>
    </w:p>
    <w:p>
      <w:pPr>
        <w:pStyle w:val="Heading2"/>
        <w:keepNext/>
      </w:pPr>
      <w:r>
        <w:t>Diagram 1: Use Case Diagram — Base CRM Foundation (Phase 1)</w:t>
      </w:r>
    </w:p>
    <w:p>
      <w:pPr>
        <w:spacing w:after="80" w:line="276" w:lineRule="auto"/>
      </w:pPr>
      <w:r>
        <w:rPr>
          <w:rFonts w:ascii="Calibri" w:hAnsi="Calibri"/>
          <w:b w:val="0"/>
          <w:i w:val="0"/>
          <w:sz w:val="20"/>
        </w:rPr>
        <w:t>Models the core functional interactions between the primary Freelancer actor and secondary supporting actors (Identity Provider, Payment Gateway) across 13 core use cases inside the SoloOS application boundary, featuring standard «include» and «extend» relationships.</w:t>
      </w:r>
    </w:p>
    <w:p>
      <w:pPr>
        <w:spacing w:before="160" w:after="160"/>
        <w:jc w:val="center"/>
      </w:pPr>
    </w:p>
    <w:p>
      <w:r>
        <w:drawing>
          <wp:inline xmlns:a="http://schemas.openxmlformats.org/drawingml/2006/main" xmlns:pic="http://schemas.openxmlformats.org/drawingml/2006/picture">
            <wp:extent cx="5669280" cy="5560918"/>
            <wp:docPr id="1" name="Picture 1"/>
            <wp:cNvGraphicFramePr>
              <a:graphicFrameLocks noChangeAspect="1"/>
            </wp:cNvGraphicFramePr>
            <a:graphic>
              <a:graphicData uri="http://schemas.openxmlformats.org/drawingml/2006/picture">
                <pic:pic>
                  <pic:nvPicPr>
                    <pic:cNvPr id="0" name="uml_01.png"/>
                    <pic:cNvPicPr/>
                  </pic:nvPicPr>
                  <pic:blipFill>
                    <a:blip r:embed="rId9"/>
                    <a:stretch>
                      <a:fillRect/>
                    </a:stretch>
                  </pic:blipFill>
                  <pic:spPr>
                    <a:xfrm>
                      <a:off x="0" y="0"/>
                      <a:ext cx="5669280" cy="5560918"/>
                    </a:xfrm>
                    <a:prstGeom prst="rect"/>
                  </pic:spPr>
                </pic:pic>
              </a:graphicData>
            </a:graphic>
          </wp:inline>
        </w:drawing>
      </w:r>
    </w:p>
    <w:p>
      <w:r>
        <w:br w:type="page"/>
      </w:r>
    </w:p>
    <w:p>
      <w:pPr>
        <w:pStyle w:val="Heading2"/>
        <w:keepNext/>
      </w:pPr>
      <w:r>
        <w:t>Diagram 2: Conceptual Class Diagram (Domain Model)</w:t>
      </w:r>
    </w:p>
    <w:p>
      <w:pPr>
        <w:spacing w:after="80" w:line="276" w:lineRule="auto"/>
      </w:pPr>
      <w:r>
        <w:rPr>
          <w:rFonts w:ascii="Calibri" w:hAnsi="Calibri"/>
          <w:b w:val="0"/>
          <w:i w:val="0"/>
          <w:sz w:val="20"/>
        </w:rPr>
        <w:t>Illustrates high-level domain entities (User, Profile, Lead, FollowUp, Client, Proposal, PricingEstimate, Subscription, Plan) and their cardinalities without exposing private physical SQL schemas.</w:t>
      </w:r>
    </w:p>
    <w:p>
      <w:pPr>
        <w:spacing w:before="160" w:after="160"/>
        <w:jc w:val="center"/>
      </w:pPr>
    </w:p>
    <w:p>
      <w:r>
        <w:drawing>
          <wp:inline xmlns:a="http://schemas.openxmlformats.org/drawingml/2006/main" xmlns:pic="http://schemas.openxmlformats.org/drawingml/2006/picture">
            <wp:extent cx="5669280" cy="3813879"/>
            <wp:docPr id="2" name="Picture 2"/>
            <wp:cNvGraphicFramePr>
              <a:graphicFrameLocks noChangeAspect="1"/>
            </wp:cNvGraphicFramePr>
            <a:graphic>
              <a:graphicData uri="http://schemas.openxmlformats.org/drawingml/2006/picture">
                <pic:pic>
                  <pic:nvPicPr>
                    <pic:cNvPr id="0" name="uml_02.png"/>
                    <pic:cNvPicPr/>
                  </pic:nvPicPr>
                  <pic:blipFill>
                    <a:blip r:embed="rId10"/>
                    <a:stretch>
                      <a:fillRect/>
                    </a:stretch>
                  </pic:blipFill>
                  <pic:spPr>
                    <a:xfrm>
                      <a:off x="0" y="0"/>
                      <a:ext cx="5669280" cy="3813879"/>
                    </a:xfrm>
                    <a:prstGeom prst="rect"/>
                  </pic:spPr>
                </pic:pic>
              </a:graphicData>
            </a:graphic>
          </wp:inline>
        </w:drawing>
      </w:r>
    </w:p>
    <w:p>
      <w:r>
        <w:br w:type="page"/>
      </w:r>
    </w:p>
    <w:p>
      <w:pPr>
        <w:pStyle w:val="Heading2"/>
        <w:keepNext/>
      </w:pPr>
      <w:r>
        <w:t>Diagram 3: Entity Relationship Diagram (Logical Data Model)</w:t>
      </w:r>
    </w:p>
    <w:p>
      <w:pPr>
        <w:spacing w:after="80" w:line="276" w:lineRule="auto"/>
      </w:pPr>
      <w:r>
        <w:rPr>
          <w:rFonts w:ascii="Calibri" w:hAnsi="Calibri"/>
          <w:b w:val="0"/>
          <w:i w:val="0"/>
          <w:sz w:val="20"/>
        </w:rPr>
        <w:t>Defines logical data relationships, foreign associations, and cardinalities between core business entities.</w:t>
      </w:r>
    </w:p>
    <w:p>
      <w:pPr>
        <w:spacing w:before="160" w:after="160"/>
        <w:jc w:val="center"/>
      </w:pPr>
    </w:p>
    <w:p>
      <w:r>
        <w:drawing>
          <wp:inline xmlns:a="http://schemas.openxmlformats.org/drawingml/2006/main" xmlns:pic="http://schemas.openxmlformats.org/drawingml/2006/picture">
            <wp:extent cx="5669280" cy="1900543"/>
            <wp:docPr id="3" name="Picture 3"/>
            <wp:cNvGraphicFramePr>
              <a:graphicFrameLocks noChangeAspect="1"/>
            </wp:cNvGraphicFramePr>
            <a:graphic>
              <a:graphicData uri="http://schemas.openxmlformats.org/drawingml/2006/picture">
                <pic:pic>
                  <pic:nvPicPr>
                    <pic:cNvPr id="0" name="uml_03.png"/>
                    <pic:cNvPicPr/>
                  </pic:nvPicPr>
                  <pic:blipFill>
                    <a:blip r:embed="rId11"/>
                    <a:stretch>
                      <a:fillRect/>
                    </a:stretch>
                  </pic:blipFill>
                  <pic:spPr>
                    <a:xfrm>
                      <a:off x="0" y="0"/>
                      <a:ext cx="5669280" cy="1900543"/>
                    </a:xfrm>
                    <a:prstGeom prst="rect"/>
                  </pic:spPr>
                </pic:pic>
              </a:graphicData>
            </a:graphic>
          </wp:inline>
        </w:drawing>
      </w:r>
    </w:p>
    <w:p>
      <w:r>
        <w:br w:type="page"/>
      </w:r>
    </w:p>
    <w:p>
      <w:pPr>
        <w:pStyle w:val="Heading2"/>
        <w:keepNext/>
      </w:pPr>
      <w:r>
        <w:t>Diagram 4: Sequence Diagram — Lead-to-Client Core Flow</w:t>
      </w:r>
    </w:p>
    <w:p>
      <w:pPr>
        <w:spacing w:after="80" w:line="276" w:lineRule="auto"/>
      </w:pPr>
      <w:r>
        <w:rPr>
          <w:rFonts w:ascii="Calibri" w:hAnsi="Calibri"/>
          <w:b w:val="0"/>
          <w:i w:val="0"/>
          <w:sz w:val="20"/>
        </w:rPr>
        <w:t>Traces the end-to-end operational sequence from lead entry and follow-up interaction cycles to proposal acceptance and automatic client conversion.</w:t>
      </w:r>
    </w:p>
    <w:p>
      <w:pPr>
        <w:spacing w:before="160" w:after="160"/>
        <w:jc w:val="center"/>
      </w:pPr>
    </w:p>
    <w:p>
      <w:r>
        <w:drawing>
          <wp:inline xmlns:a="http://schemas.openxmlformats.org/drawingml/2006/main" xmlns:pic="http://schemas.openxmlformats.org/drawingml/2006/picture">
            <wp:extent cx="5669280" cy="5805692"/>
            <wp:docPr id="4" name="Picture 4"/>
            <wp:cNvGraphicFramePr>
              <a:graphicFrameLocks noChangeAspect="1"/>
            </wp:cNvGraphicFramePr>
            <a:graphic>
              <a:graphicData uri="http://schemas.openxmlformats.org/drawingml/2006/picture">
                <pic:pic>
                  <pic:nvPicPr>
                    <pic:cNvPr id="0" name="uml_04.png"/>
                    <pic:cNvPicPr/>
                  </pic:nvPicPr>
                  <pic:blipFill>
                    <a:blip r:embed="rId12"/>
                    <a:stretch>
                      <a:fillRect/>
                    </a:stretch>
                  </pic:blipFill>
                  <pic:spPr>
                    <a:xfrm>
                      <a:off x="0" y="0"/>
                      <a:ext cx="5669280" cy="5805692"/>
                    </a:xfrm>
                    <a:prstGeom prst="rect"/>
                  </pic:spPr>
                </pic:pic>
              </a:graphicData>
            </a:graphic>
          </wp:inline>
        </w:drawing>
      </w:r>
    </w:p>
    <w:p>
      <w:r>
        <w:br w:type="page"/>
      </w:r>
    </w:p>
    <w:p>
      <w:pPr>
        <w:pStyle w:val="Heading2"/>
        <w:keepNext/>
      </w:pPr>
      <w:r>
        <w:t>Diagram 5: Sequence Diagram — Subscription Checkout Flow</w:t>
      </w:r>
    </w:p>
    <w:p>
      <w:pPr>
        <w:spacing w:after="80" w:line="276" w:lineRule="auto"/>
      </w:pPr>
      <w:r>
        <w:rPr>
          <w:rFonts w:ascii="Calibri" w:hAnsi="Calibri"/>
          <w:b w:val="0"/>
          <w:i w:val="0"/>
          <w:sz w:val="20"/>
        </w:rPr>
        <w:t>Details the asynchronous payment orchestration between the client SPA, serverless function layer, Payment Gateway, and authoritative webhook callback handler.</w:t>
      </w:r>
    </w:p>
    <w:p>
      <w:pPr>
        <w:spacing w:before="160" w:after="160"/>
        <w:jc w:val="center"/>
      </w:pPr>
    </w:p>
    <w:p>
      <w:r>
        <w:drawing>
          <wp:inline xmlns:a="http://schemas.openxmlformats.org/drawingml/2006/main" xmlns:pic="http://schemas.openxmlformats.org/drawingml/2006/picture">
            <wp:extent cx="5669280" cy="4262397"/>
            <wp:docPr id="5" name="Picture 5"/>
            <wp:cNvGraphicFramePr>
              <a:graphicFrameLocks noChangeAspect="1"/>
            </wp:cNvGraphicFramePr>
            <a:graphic>
              <a:graphicData uri="http://schemas.openxmlformats.org/drawingml/2006/picture">
                <pic:pic>
                  <pic:nvPicPr>
                    <pic:cNvPr id="0" name="uml_05.png"/>
                    <pic:cNvPicPr/>
                  </pic:nvPicPr>
                  <pic:blipFill>
                    <a:blip r:embed="rId13"/>
                    <a:stretch>
                      <a:fillRect/>
                    </a:stretch>
                  </pic:blipFill>
                  <pic:spPr>
                    <a:xfrm>
                      <a:off x="0" y="0"/>
                      <a:ext cx="5669280" cy="4262397"/>
                    </a:xfrm>
                    <a:prstGeom prst="rect"/>
                  </pic:spPr>
                </pic:pic>
              </a:graphicData>
            </a:graphic>
          </wp:inline>
        </w:drawing>
      </w:r>
    </w:p>
    <w:p>
      <w:r>
        <w:br w:type="page"/>
      </w:r>
    </w:p>
    <w:p>
      <w:pPr>
        <w:pStyle w:val="Heading2"/>
        <w:keepNext/>
      </w:pPr>
      <w:r>
        <w:t>Diagram 6: State Diagram — Lead Lifecycle</w:t>
      </w:r>
    </w:p>
    <w:p>
      <w:pPr>
        <w:spacing w:after="80" w:line="276" w:lineRule="auto"/>
      </w:pPr>
      <w:r>
        <w:rPr>
          <w:rFonts w:ascii="Calibri" w:hAnsi="Calibri"/>
          <w:b w:val="0"/>
          <w:i w:val="0"/>
          <w:sz w:val="20"/>
        </w:rPr>
        <w:t>Maps out discrete pipeline transitions: New Lead → Contacted → Waiting Reply → Warm Lead / At Risk → Proposal Sent → Won / Lost.</w:t>
      </w:r>
    </w:p>
    <w:p>
      <w:pPr>
        <w:spacing w:before="160" w:after="160"/>
        <w:jc w:val="center"/>
      </w:pPr>
    </w:p>
    <w:p>
      <w:r>
        <w:drawing>
          <wp:inline xmlns:a="http://schemas.openxmlformats.org/drawingml/2006/main" xmlns:pic="http://schemas.openxmlformats.org/drawingml/2006/picture">
            <wp:extent cx="5669280" cy="12267316"/>
            <wp:docPr id="6" name="Picture 6"/>
            <wp:cNvGraphicFramePr>
              <a:graphicFrameLocks noChangeAspect="1"/>
            </wp:cNvGraphicFramePr>
            <a:graphic>
              <a:graphicData uri="http://schemas.openxmlformats.org/drawingml/2006/picture">
                <pic:pic>
                  <pic:nvPicPr>
                    <pic:cNvPr id="0" name="uml_06.png"/>
                    <pic:cNvPicPr/>
                  </pic:nvPicPr>
                  <pic:blipFill>
                    <a:blip r:embed="rId14"/>
                    <a:stretch>
                      <a:fillRect/>
                    </a:stretch>
                  </pic:blipFill>
                  <pic:spPr>
                    <a:xfrm>
                      <a:off x="0" y="0"/>
                      <a:ext cx="5669280" cy="12267316"/>
                    </a:xfrm>
                    <a:prstGeom prst="rect"/>
                  </pic:spPr>
                </pic:pic>
              </a:graphicData>
            </a:graphic>
          </wp:inline>
        </w:drawing>
      </w:r>
    </w:p>
    <w:p>
      <w:r>
        <w:br w:type="page"/>
      </w:r>
    </w:p>
    <w:p>
      <w:pPr>
        <w:pStyle w:val="Heading2"/>
        <w:keepNext/>
      </w:pPr>
      <w:r>
        <w:t>Diagram 7: State Diagram — Subscription Lifecycle</w:t>
      </w:r>
    </w:p>
    <w:p>
      <w:pPr>
        <w:spacing w:after="80" w:line="276" w:lineRule="auto"/>
      </w:pPr>
      <w:r>
        <w:rPr>
          <w:rFonts w:ascii="Calibri" w:hAnsi="Calibri"/>
          <w:b w:val="0"/>
          <w:i w:val="0"/>
          <w:sz w:val="20"/>
        </w:rPr>
        <w:t>Details subscription states from Free Tier, Pending Checkout, Active Pro, Past Due grace periods, and Cancellation downgrades.</w:t>
      </w:r>
    </w:p>
    <w:p>
      <w:pPr>
        <w:spacing w:before="160" w:after="160"/>
        <w:jc w:val="center"/>
      </w:pPr>
    </w:p>
    <w:p>
      <w:r>
        <w:drawing>
          <wp:inline xmlns:a="http://schemas.openxmlformats.org/drawingml/2006/main" xmlns:pic="http://schemas.openxmlformats.org/drawingml/2006/picture">
            <wp:extent cx="5669280" cy="7542922"/>
            <wp:docPr id="7" name="Picture 7"/>
            <wp:cNvGraphicFramePr>
              <a:graphicFrameLocks noChangeAspect="1"/>
            </wp:cNvGraphicFramePr>
            <a:graphic>
              <a:graphicData uri="http://schemas.openxmlformats.org/drawingml/2006/picture">
                <pic:pic>
                  <pic:nvPicPr>
                    <pic:cNvPr id="0" name="uml_07.png"/>
                    <pic:cNvPicPr/>
                  </pic:nvPicPr>
                  <pic:blipFill>
                    <a:blip r:embed="rId15"/>
                    <a:stretch>
                      <a:fillRect/>
                    </a:stretch>
                  </pic:blipFill>
                  <pic:spPr>
                    <a:xfrm>
                      <a:off x="0" y="0"/>
                      <a:ext cx="5669280" cy="7542922"/>
                    </a:xfrm>
                    <a:prstGeom prst="rect"/>
                  </pic:spPr>
                </pic:pic>
              </a:graphicData>
            </a:graphic>
          </wp:inline>
        </w:drawing>
      </w:r>
    </w:p>
    <w:p>
      <w:r>
        <w:br w:type="page"/>
      </w:r>
    </w:p>
    <w:p>
      <w:pPr>
        <w:pStyle w:val="Heading2"/>
        <w:keepNext/>
      </w:pPr>
      <w:r>
        <w:t>Diagram 8: Component Architecture Diagram (Logical)</w:t>
      </w:r>
    </w:p>
    <w:p>
      <w:pPr>
        <w:spacing w:after="80" w:line="276" w:lineRule="auto"/>
      </w:pPr>
      <w:r>
        <w:rPr>
          <w:rFonts w:ascii="Calibri" w:hAnsi="Calibri"/>
          <w:b w:val="0"/>
          <w:i w:val="0"/>
          <w:sz w:val="20"/>
        </w:rPr>
        <w:t>Illustrates system layering across Presentation Components, State Management, Domain Services, Integration Adapters, BaaS managed persistence, and external service providers.</w:t>
      </w:r>
    </w:p>
    <w:p>
      <w:pPr>
        <w:spacing w:before="160" w:after="160"/>
        <w:jc w:val="center"/>
      </w:pPr>
    </w:p>
    <w:p>
      <w:r>
        <w:drawing>
          <wp:inline xmlns:a="http://schemas.openxmlformats.org/drawingml/2006/main" xmlns:pic="http://schemas.openxmlformats.org/drawingml/2006/picture">
            <wp:extent cx="5669280" cy="3583371"/>
            <wp:docPr id="8" name="Picture 8"/>
            <wp:cNvGraphicFramePr>
              <a:graphicFrameLocks noChangeAspect="1"/>
            </wp:cNvGraphicFramePr>
            <a:graphic>
              <a:graphicData uri="http://schemas.openxmlformats.org/drawingml/2006/picture">
                <pic:pic>
                  <pic:nvPicPr>
                    <pic:cNvPr id="0" name="uml_08.png"/>
                    <pic:cNvPicPr/>
                  </pic:nvPicPr>
                  <pic:blipFill>
                    <a:blip r:embed="rId16"/>
                    <a:stretch>
                      <a:fillRect/>
                    </a:stretch>
                  </pic:blipFill>
                  <pic:spPr>
                    <a:xfrm>
                      <a:off x="0" y="0"/>
                      <a:ext cx="5669280" cy="3583371"/>
                    </a:xfrm>
                    <a:prstGeom prst="rect"/>
                  </pic:spPr>
                </pic:pic>
              </a:graphicData>
            </a:graphic>
          </wp:inline>
        </w:drawing>
      </w:r>
    </w:p>
    <w:p>
      <w:r>
        <w:br w:type="page"/>
      </w:r>
    </w:p>
    <w:p>
      <w:pPr>
        <w:pStyle w:val="Heading2"/>
        <w:keepNext/>
      </w:pPr>
      <w:r>
        <w:t>Diagram 9: SDLC Roadmap — Phase 1 Foundation to Phase 2 AI</w:t>
      </w:r>
    </w:p>
    <w:p>
      <w:pPr>
        <w:spacing w:after="80" w:line="276" w:lineRule="auto"/>
      </w:pPr>
      <w:r>
        <w:rPr>
          <w:rFonts w:ascii="Calibri" w:hAnsi="Calibri"/>
          <w:b w:val="0"/>
          <w:i w:val="0"/>
          <w:sz w:val="20"/>
        </w:rPr>
        <w:t>Depicts the progressive transition and capability evolution from delivered Base CRM modules to Phase 2 AI-assisted intelligent features.</w:t>
      </w:r>
    </w:p>
    <w:p>
      <w:pPr>
        <w:spacing w:before="160" w:after="160"/>
        <w:jc w:val="center"/>
      </w:pPr>
    </w:p>
    <w:p>
      <w:r>
        <w:drawing>
          <wp:inline xmlns:a="http://schemas.openxmlformats.org/drawingml/2006/main" xmlns:pic="http://schemas.openxmlformats.org/drawingml/2006/picture">
            <wp:extent cx="5669280" cy="375173"/>
            <wp:docPr id="9" name="Picture 9"/>
            <wp:cNvGraphicFramePr>
              <a:graphicFrameLocks noChangeAspect="1"/>
            </wp:cNvGraphicFramePr>
            <a:graphic>
              <a:graphicData uri="http://schemas.openxmlformats.org/drawingml/2006/picture">
                <pic:pic>
                  <pic:nvPicPr>
                    <pic:cNvPr id="0" name="uml_09.png"/>
                    <pic:cNvPicPr/>
                  </pic:nvPicPr>
                  <pic:blipFill>
                    <a:blip r:embed="rId17"/>
                    <a:stretch>
                      <a:fillRect/>
                    </a:stretch>
                  </pic:blipFill>
                  <pic:spPr>
                    <a:xfrm>
                      <a:off x="0" y="0"/>
                      <a:ext cx="5669280" cy="375173"/>
                    </a:xfrm>
                    <a:prstGeom prst="rect"/>
                  </pic:spPr>
                </pic:pic>
              </a:graphicData>
            </a:graphic>
          </wp:inline>
        </w:drawing>
      </w:r>
    </w:p>
    <w:p>
      <w:r>
        <w:br w:type="page"/>
      </w:r>
    </w:p>
    <w:p>
      <w:pPr>
        <w:pStyle w:val="Heading2"/>
        <w:keepNext/>
      </w:pPr>
      <w:r>
        <w:t>Diagram 10: Extended Use Case Diagram — AI-Assisted Selling (Phase 2)</w:t>
      </w:r>
    </w:p>
    <w:p>
      <w:pPr>
        <w:spacing w:after="80" w:line="276" w:lineRule="auto"/>
      </w:pPr>
      <w:r>
        <w:rPr>
          <w:rFonts w:ascii="Calibri" w:hAnsi="Calibri"/>
          <w:b w:val="0"/>
          <w:i w:val="0"/>
          <w:sz w:val="20"/>
        </w:rPr>
        <w:t>Models AI use cases (Deal Radar, Personalized Pricing, Client Health Scoring, AI Draft Generation, and Human-in-the-Loop Review) inside the AI subsystem boundary interacting with the Hosted AI Provider.</w:t>
      </w:r>
    </w:p>
    <w:p>
      <w:pPr>
        <w:spacing w:before="160" w:after="160"/>
        <w:jc w:val="center"/>
      </w:pPr>
    </w:p>
    <w:p>
      <w:r>
        <w:drawing>
          <wp:inline xmlns:a="http://schemas.openxmlformats.org/drawingml/2006/main" xmlns:pic="http://schemas.openxmlformats.org/drawingml/2006/picture">
            <wp:extent cx="5669280" cy="3600759"/>
            <wp:docPr id="10" name="Picture 10"/>
            <wp:cNvGraphicFramePr>
              <a:graphicFrameLocks noChangeAspect="1"/>
            </wp:cNvGraphicFramePr>
            <a:graphic>
              <a:graphicData uri="http://schemas.openxmlformats.org/drawingml/2006/picture">
                <pic:pic>
                  <pic:nvPicPr>
                    <pic:cNvPr id="0" name="uml_10.png"/>
                    <pic:cNvPicPr/>
                  </pic:nvPicPr>
                  <pic:blipFill>
                    <a:blip r:embed="rId18"/>
                    <a:stretch>
                      <a:fillRect/>
                    </a:stretch>
                  </pic:blipFill>
                  <pic:spPr>
                    <a:xfrm>
                      <a:off x="0" y="0"/>
                      <a:ext cx="5669280" cy="3600759"/>
                    </a:xfrm>
                    <a:prstGeom prst="rect"/>
                  </pic:spPr>
                </pic:pic>
              </a:graphicData>
            </a:graphic>
          </wp:inline>
        </w:drawing>
      </w:r>
    </w:p>
    <w:p>
      <w:r>
        <w:br w:type="page"/>
      </w:r>
    </w:p>
    <w:p>
      <w:pPr>
        <w:pStyle w:val="Heading2"/>
        <w:keepNext/>
      </w:pPr>
      <w:r>
        <w:t>Diagram 11: Extended Architecture — AI Service Layer</w:t>
      </w:r>
    </w:p>
    <w:p>
      <w:pPr>
        <w:spacing w:after="80" w:line="276" w:lineRule="auto"/>
      </w:pPr>
      <w:r>
        <w:rPr>
          <w:rFonts w:ascii="Calibri" w:hAnsi="Calibri"/>
          <w:b w:val="0"/>
          <w:i w:val="0"/>
          <w:sz w:val="20"/>
        </w:rPr>
        <w:t>Expands system architecture to incorporate the AI Orchestration Service and Hosted AI Provider integration proxy.</w:t>
      </w:r>
    </w:p>
    <w:p>
      <w:pPr>
        <w:spacing w:before="160" w:after="160"/>
        <w:jc w:val="center"/>
      </w:pPr>
    </w:p>
    <w:p>
      <w:r>
        <w:drawing>
          <wp:inline xmlns:a="http://schemas.openxmlformats.org/drawingml/2006/main" xmlns:pic="http://schemas.openxmlformats.org/drawingml/2006/picture">
            <wp:extent cx="5669280" cy="2657170"/>
            <wp:docPr id="11" name="Picture 11"/>
            <wp:cNvGraphicFramePr>
              <a:graphicFrameLocks noChangeAspect="1"/>
            </wp:cNvGraphicFramePr>
            <a:graphic>
              <a:graphicData uri="http://schemas.openxmlformats.org/drawingml/2006/picture">
                <pic:pic>
                  <pic:nvPicPr>
                    <pic:cNvPr id="0" name="uml_11.png"/>
                    <pic:cNvPicPr/>
                  </pic:nvPicPr>
                  <pic:blipFill>
                    <a:blip r:embed="rId19"/>
                    <a:stretch>
                      <a:fillRect/>
                    </a:stretch>
                  </pic:blipFill>
                  <pic:spPr>
                    <a:xfrm>
                      <a:off x="0" y="0"/>
                      <a:ext cx="5669280" cy="2657170"/>
                    </a:xfrm>
                    <a:prstGeom prst="rect"/>
                  </pic:spPr>
                </pic:pic>
              </a:graphicData>
            </a:graphic>
          </wp:inline>
        </w:drawing>
      </w:r>
    </w:p>
    <w:p>
      <w:r>
        <w:br w:type="page"/>
      </w:r>
    </w:p>
    <w:p>
      <w:pPr>
        <w:pStyle w:val="Heading2"/>
        <w:keepNext/>
      </w:pPr>
      <w:r>
        <w:t>Diagram 12: Sequence Diagram — AI-Assisted Follow-Up Drafting</w:t>
      </w:r>
    </w:p>
    <w:p>
      <w:pPr>
        <w:spacing w:after="80" w:line="276" w:lineRule="auto"/>
      </w:pPr>
      <w:r>
        <w:rPr>
          <w:rFonts w:ascii="Calibri" w:hAnsi="Calibri"/>
          <w:b w:val="0"/>
          <w:i w:val="0"/>
          <w:sz w:val="20"/>
        </w:rPr>
        <w:t>Specifies the exact interaction flow for AI outreach generation, strictly enforcing mandatory user review and manual approval before any communication is dispatched.</w:t>
      </w:r>
    </w:p>
    <w:p>
      <w:pPr>
        <w:spacing w:before="160" w:after="160"/>
        <w:jc w:val="center"/>
      </w:pPr>
    </w:p>
    <w:p>
      <w:r>
        <w:drawing>
          <wp:inline xmlns:a="http://schemas.openxmlformats.org/drawingml/2006/main" xmlns:pic="http://schemas.openxmlformats.org/drawingml/2006/picture">
            <wp:extent cx="5669280" cy="4194532"/>
            <wp:docPr id="12" name="Picture 12"/>
            <wp:cNvGraphicFramePr>
              <a:graphicFrameLocks noChangeAspect="1"/>
            </wp:cNvGraphicFramePr>
            <a:graphic>
              <a:graphicData uri="http://schemas.openxmlformats.org/drawingml/2006/picture">
                <pic:pic>
                  <pic:nvPicPr>
                    <pic:cNvPr id="0" name="uml_12.png"/>
                    <pic:cNvPicPr/>
                  </pic:nvPicPr>
                  <pic:blipFill>
                    <a:blip r:embed="rId20"/>
                    <a:stretch>
                      <a:fillRect/>
                    </a:stretch>
                  </pic:blipFill>
                  <pic:spPr>
                    <a:xfrm>
                      <a:off x="0" y="0"/>
                      <a:ext cx="5669280" cy="419453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SoloOS — UML Diagrams</dc:title>
  <dc:subject/>
  <dc:creator>Anay Sharma</dc:creator>
  <cp:keywords/>
  <dc:description>generated by python-docx</dc:description>
  <cp:lastModifiedBy/>
  <cp:revision>1</cp:revision>
  <dcterms:created xsi:type="dcterms:W3CDTF">2013-12-23T23:15:00Z</dcterms:created>
  <dcterms:modified xsi:type="dcterms:W3CDTF">2013-12-23T23:15:00Z</dcterms:modified>
  <cp:category/>
</cp:coreProperties>
</file>