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b/>
          <w:sz w:val="32"/>
        </w:rPr>
        <w:t>CS 499 Final ePortfolio Narrative</w:t>
      </w:r>
    </w:p>
    <w:p>
      <w:pPr>
        <w:spacing w:line="240" w:lineRule="auto" w:after="120"/>
        <w:jc w:val="center"/>
      </w:pPr>
      <w:r>
        <w:rPr>
          <w:b/>
          <w:sz w:val="26"/>
        </w:rPr>
        <w:t>Enhancement Three: Databases</w:t>
      </w:r>
    </w:p>
    <w:p>
      <w:pPr>
        <w:spacing w:line="240" w:lineRule="auto" w:after="240"/>
        <w:jc w:val="center"/>
      </w:pPr>
      <w:r>
        <w:rPr>
          <w:b/>
        </w:rPr>
        <w:t>Asher Nayer</w:t>
        <w:br/>
      </w:r>
      <w:r>
        <w:t>Artifact: CS 340 Grazioso Salvare MongoDB Dashboard</w:t>
      </w:r>
    </w:p>
    <w:p>
      <w:pPr>
        <w:pStyle w:val="Heading1"/>
      </w:pPr>
      <w:r>
        <w:t>Brief Description of the Artifact</w:t>
      </w:r>
    </w:p>
    <w:p>
      <w:pPr>
        <w:spacing w:line="480" w:lineRule="auto" w:after="120"/>
      </w:pPr>
      <w:r>
        <w:t>The artifact selected for Enhancement Three is the CS 340 Client/Server Development project: the Grazioso Salvare dashboard. The original project used a reusable Python CRUD module to connect a Dash/JupyterDash dashboard to the Austin Animal Center Outcomes MongoDB database. The dashboard allowed users to filter shelter records by rescue category and view results through a data table, geolocation map, and breed-distribution chart.</w:t>
      </w:r>
    </w:p>
    <w:p>
      <w:pPr>
        <w:spacing w:line="480" w:lineRule="auto" w:after="120"/>
      </w:pPr>
      <w:r>
        <w:t>This artifact is appropriate for the databases category because it demonstrates MongoDB access, CRUD operations, reusable data access design, query construction, dashboard filtering, client/server interaction, and the relationship between persistent data and organizational decision making.</w:t>
      </w:r>
    </w:p>
    <w:p>
      <w:pPr>
        <w:pStyle w:val="Heading1"/>
      </w:pPr>
      <w:r>
        <w:t>Justification for Inclusion in the ePortfolio</w:t>
      </w:r>
    </w:p>
    <w:p>
      <w:pPr>
        <w:spacing w:line="480" w:lineRule="auto" w:after="120"/>
      </w:pPr>
      <w:r>
        <w:t>I selected this artifact because database-backed applications are central to my career goals in software engineering and data-centered application development. The original dashboard showed that I could connect a Python interface to MongoDB and use data to support a client workflow. However, the original data layer needed stronger evidence of safe configuration, controlled query behavior, result limits, error handling, and database verification.</w:t>
      </w:r>
    </w:p>
    <w:p>
      <w:pPr>
        <w:spacing w:line="480" w:lineRule="auto" w:after="120"/>
      </w:pPr>
      <w:r>
        <w:t>The enhanced version makes the database behavior more explicit and more professionally maintainable. It documents the actual database and collection, aac.animals, centralizes configuration, validates allowed query fields and operators, applies result caps, protects update and delete operations, supports rescue-specific search methods, adds index creation support, and provides test evidence for expected and defensive cases.</w:t>
      </w:r>
    </w:p>
    <w:p>
      <w:pPr>
        <w:pStyle w:val="Heading1"/>
      </w:pPr>
      <w:r>
        <w:t>Enhancement and Final Polish Summary</w:t>
      </w:r>
    </w:p>
    <w:p>
      <w:pPr>
        <w:spacing w:line="480" w:lineRule="auto" w:after="120"/>
      </w:pPr>
      <w:r>
        <w:t>The Milestone Four enhancement incorporated allowlisted MongoDB queries, result caps, safer writes, environment-based configuration, indexes, sample queries, error cases, and nine passing mocked unit tests. After instructor feedback, I completed additional final ePortfolio polish by adding a temporary MongoDB integration-test file and an explain-output workflow for a common Water Rescue filter. This final polish demonstrates database behavior beyond mocked unit tests and gives the reviewer a clear path to verify index behavior in a live MongoDB environment.</w:t>
      </w:r>
    </w:p>
    <w:tbl>
      <w:tblPr>
        <w:tblStyle w:val="TableGrid"/>
        <w:tblW w:type="auto" w:w="0"/>
        <w:jc w:val="center"/>
        <w:tblLook w:firstColumn="1" w:firstRow="1" w:lastColumn="0" w:lastRow="0" w:noHBand="0" w:noVBand="1" w:val="04A0"/>
      </w:tblPr>
      <w:tblGrid>
        <w:gridCol w:w="4680"/>
        <w:gridCol w:w="4680"/>
      </w:tblGrid>
      <w:tr>
        <w:tc>
          <w:tcPr>
            <w:tcW w:type="dxa" w:w="4680"/>
            <w:shd w:fill="1F2937"/>
            <w:vAlign w:val="center"/>
          </w:tcPr>
          <w:p>
            <w:pPr>
              <w:spacing w:after="0" w:line="240" w:lineRule="auto"/>
            </w:pPr>
            <w:r/>
            <w:r>
              <w:rPr>
                <w:rFonts w:ascii="Times New Roman" w:hAnsi="Times New Roman"/>
                <w:b/>
                <w:color w:val="FFFFFF"/>
                <w:sz w:val="19"/>
              </w:rPr>
              <w:t>Final polish item</w:t>
            </w:r>
          </w:p>
        </w:tc>
        <w:tc>
          <w:tcPr>
            <w:tcW w:type="dxa" w:w="4680"/>
            <w:shd w:fill="1F2937"/>
            <w:vAlign w:val="center"/>
          </w:tcPr>
          <w:p>
            <w:pPr>
              <w:spacing w:after="0" w:line="240" w:lineRule="auto"/>
            </w:pPr>
            <w:r/>
            <w:r>
              <w:rPr>
                <w:rFonts w:ascii="Times New Roman" w:hAnsi="Times New Roman"/>
                <w:b/>
                <w:color w:val="FFFFFF"/>
                <w:sz w:val="19"/>
              </w:rPr>
              <w:t>Evidence in final artifact</w:t>
            </w:r>
          </w:p>
        </w:tc>
      </w:tr>
      <w:tr>
        <w:tc>
          <w:tcPr>
            <w:tcW w:type="dxa" w:w="4680"/>
            <w:vAlign w:val="center"/>
          </w:tcPr>
          <w:p>
            <w:pPr>
              <w:spacing w:after="0" w:line="240" w:lineRule="auto"/>
            </w:pPr>
            <w:r/>
            <w:r>
              <w:rPr>
                <w:rFonts w:ascii="Times New Roman" w:hAnsi="Times New Roman"/>
                <w:b w:val="0"/>
                <w:sz w:val="19"/>
              </w:rPr>
              <w:t>Actual database and collection</w:t>
            </w:r>
          </w:p>
        </w:tc>
        <w:tc>
          <w:tcPr>
            <w:tcW w:type="dxa" w:w="4680"/>
            <w:vAlign w:val="center"/>
          </w:tcPr>
          <w:p>
            <w:pPr>
              <w:spacing w:after="0" w:line="240" w:lineRule="auto"/>
            </w:pPr>
            <w:r/>
            <w:r>
              <w:rPr>
                <w:rFonts w:ascii="Times New Roman" w:hAnsi="Times New Roman"/>
                <w:b w:val="0"/>
                <w:sz w:val="19"/>
              </w:rPr>
              <w:t>The final documentation identifies MongoDB database and collection as aac.animals.</w:t>
            </w:r>
          </w:p>
        </w:tc>
      </w:tr>
      <w:tr>
        <w:tc>
          <w:tcPr>
            <w:tcW w:type="dxa" w:w="4680"/>
            <w:vAlign w:val="center"/>
          </w:tcPr>
          <w:p>
            <w:pPr>
              <w:spacing w:after="0" w:line="240" w:lineRule="auto"/>
            </w:pPr>
            <w:r/>
            <w:r>
              <w:rPr>
                <w:rFonts w:ascii="Times New Roman" w:hAnsi="Times New Roman"/>
                <w:b w:val="0"/>
                <w:sz w:val="19"/>
              </w:rPr>
              <w:t>Configuration separation</w:t>
            </w:r>
          </w:p>
        </w:tc>
        <w:tc>
          <w:tcPr>
            <w:tcW w:type="dxa" w:w="4680"/>
            <w:vAlign w:val="center"/>
          </w:tcPr>
          <w:p>
            <w:pPr>
              <w:spacing w:after="0" w:line="240" w:lineRule="auto"/>
            </w:pPr>
            <w:r/>
            <w:r>
              <w:rPr>
                <w:rFonts w:ascii="Times New Roman" w:hAnsi="Times New Roman"/>
                <w:b w:val="0"/>
                <w:sz w:val="19"/>
              </w:rPr>
              <w:t>database_config.py reads MongoDB configuration from environment variables instead of relying on hard-coded dashboard credentials.</w:t>
            </w:r>
          </w:p>
        </w:tc>
      </w:tr>
      <w:tr>
        <w:tc>
          <w:tcPr>
            <w:tcW w:type="dxa" w:w="4680"/>
            <w:vAlign w:val="center"/>
          </w:tcPr>
          <w:p>
            <w:pPr>
              <w:spacing w:after="0" w:line="240" w:lineRule="auto"/>
            </w:pPr>
            <w:r/>
            <w:r>
              <w:rPr>
                <w:rFonts w:ascii="Times New Roman" w:hAnsi="Times New Roman"/>
                <w:b w:val="0"/>
                <w:sz w:val="19"/>
              </w:rPr>
              <w:t>Allowed query behavior</w:t>
            </w:r>
          </w:p>
        </w:tc>
        <w:tc>
          <w:tcPr>
            <w:tcW w:type="dxa" w:w="4680"/>
            <w:vAlign w:val="center"/>
          </w:tcPr>
          <w:p>
            <w:pPr>
              <w:spacing w:after="0" w:line="240" w:lineRule="auto"/>
            </w:pPr>
            <w:r/>
            <w:r>
              <w:rPr>
                <w:rFonts w:ascii="Times New Roman" w:hAnsi="Times New Roman"/>
                <w:b w:val="0"/>
                <w:sz w:val="19"/>
              </w:rPr>
              <w:t>CRUD_Python_Module_Enhanced.py validates query fields and allowed MongoDB operators before running database reads.</w:t>
            </w:r>
          </w:p>
        </w:tc>
      </w:tr>
      <w:tr>
        <w:tc>
          <w:tcPr>
            <w:tcW w:type="dxa" w:w="4680"/>
            <w:vAlign w:val="center"/>
          </w:tcPr>
          <w:p>
            <w:pPr>
              <w:spacing w:after="0" w:line="240" w:lineRule="auto"/>
            </w:pPr>
            <w:r/>
            <w:r>
              <w:rPr>
                <w:rFonts w:ascii="Times New Roman" w:hAnsi="Times New Roman"/>
                <w:b w:val="0"/>
                <w:sz w:val="19"/>
              </w:rPr>
              <w:t>Result caps</w:t>
            </w:r>
          </w:p>
        </w:tc>
        <w:tc>
          <w:tcPr>
            <w:tcW w:type="dxa" w:w="4680"/>
            <w:vAlign w:val="center"/>
          </w:tcPr>
          <w:p>
            <w:pPr>
              <w:spacing w:after="0" w:line="240" w:lineRule="auto"/>
            </w:pPr>
            <w:r/>
            <w:r>
              <w:rPr>
                <w:rFonts w:ascii="Times New Roman" w:hAnsi="Times New Roman"/>
                <w:b w:val="0"/>
                <w:sz w:val="19"/>
              </w:rPr>
              <w:t>Read operations apply default and maximum limits so the dashboard does not unintentionally return the full collection.</w:t>
            </w:r>
          </w:p>
        </w:tc>
      </w:tr>
      <w:tr>
        <w:tc>
          <w:tcPr>
            <w:tcW w:type="dxa" w:w="4680"/>
            <w:vAlign w:val="center"/>
          </w:tcPr>
          <w:p>
            <w:pPr>
              <w:spacing w:after="0" w:line="240" w:lineRule="auto"/>
            </w:pPr>
            <w:r/>
            <w:r>
              <w:rPr>
                <w:rFonts w:ascii="Times New Roman" w:hAnsi="Times New Roman"/>
                <w:b w:val="0"/>
                <w:sz w:val="19"/>
              </w:rPr>
              <w:t>Safer writes</w:t>
            </w:r>
          </w:p>
        </w:tc>
        <w:tc>
          <w:tcPr>
            <w:tcW w:type="dxa" w:w="4680"/>
            <w:vAlign w:val="center"/>
          </w:tcPr>
          <w:p>
            <w:pPr>
              <w:spacing w:after="0" w:line="240" w:lineRule="auto"/>
            </w:pPr>
            <w:r/>
            <w:r>
              <w:rPr>
                <w:rFonts w:ascii="Times New Roman" w:hAnsi="Times New Roman"/>
                <w:b w:val="0"/>
                <w:sz w:val="19"/>
              </w:rPr>
              <w:t>Update and delete operations default to one-document behavior, block protected fields, and require explicit confirmation for delete.</w:t>
            </w:r>
          </w:p>
        </w:tc>
      </w:tr>
      <w:tr>
        <w:tc>
          <w:tcPr>
            <w:tcW w:type="dxa" w:w="4680"/>
            <w:vAlign w:val="center"/>
          </w:tcPr>
          <w:p>
            <w:pPr>
              <w:spacing w:after="0" w:line="240" w:lineRule="auto"/>
            </w:pPr>
            <w:r/>
            <w:r>
              <w:rPr>
                <w:rFonts w:ascii="Times New Roman" w:hAnsi="Times New Roman"/>
                <w:b w:val="0"/>
                <w:sz w:val="19"/>
              </w:rPr>
              <w:t>Index support</w:t>
            </w:r>
          </w:p>
        </w:tc>
        <w:tc>
          <w:tcPr>
            <w:tcW w:type="dxa" w:w="4680"/>
            <w:vAlign w:val="center"/>
          </w:tcPr>
          <w:p>
            <w:pPr>
              <w:spacing w:after="0" w:line="240" w:lineRule="auto"/>
            </w:pPr>
            <w:r/>
            <w:r>
              <w:rPr>
                <w:rFonts w:ascii="Times New Roman" w:hAnsi="Times New Roman"/>
                <w:b w:val="0"/>
                <w:sz w:val="19"/>
              </w:rPr>
              <w:t>The enhanced module includes index creation for common rescue-filter fields.</w:t>
            </w:r>
          </w:p>
        </w:tc>
      </w:tr>
      <w:tr>
        <w:tc>
          <w:tcPr>
            <w:tcW w:type="dxa" w:w="4680"/>
            <w:vAlign w:val="center"/>
          </w:tcPr>
          <w:p>
            <w:pPr>
              <w:spacing w:after="0" w:line="240" w:lineRule="auto"/>
            </w:pPr>
            <w:r/>
            <w:r>
              <w:rPr>
                <w:rFonts w:ascii="Times New Roman" w:hAnsi="Times New Roman"/>
                <w:b w:val="0"/>
                <w:sz w:val="19"/>
              </w:rPr>
              <w:t>Testing evidence</w:t>
            </w:r>
          </w:p>
        </w:tc>
        <w:tc>
          <w:tcPr>
            <w:tcW w:type="dxa" w:w="4680"/>
            <w:vAlign w:val="center"/>
          </w:tcPr>
          <w:p>
            <w:pPr>
              <w:spacing w:after="0" w:line="240" w:lineRule="auto"/>
            </w:pPr>
            <w:r/>
            <w:r>
              <w:rPr>
                <w:rFonts w:ascii="Times New Roman" w:hAnsi="Times New Roman"/>
                <w:b w:val="0"/>
                <w:sz w:val="19"/>
              </w:rPr>
              <w:t>TEST_OUTPUT_FINAL.txt shows nine mocked unit tests passed; test_mongo_integration.py adds the requested temporary MongoDB integration workflow.</w:t>
            </w:r>
          </w:p>
        </w:tc>
      </w:tr>
      <w:tr>
        <w:tc>
          <w:tcPr>
            <w:tcW w:type="dxa" w:w="4680"/>
            <w:vAlign w:val="center"/>
          </w:tcPr>
          <w:p>
            <w:pPr>
              <w:spacing w:after="0" w:line="240" w:lineRule="auto"/>
            </w:pPr>
            <w:r/>
            <w:r>
              <w:rPr>
                <w:rFonts w:ascii="Times New Roman" w:hAnsi="Times New Roman"/>
                <w:b w:val="0"/>
                <w:sz w:val="19"/>
              </w:rPr>
              <w:t>Explain-output workflow</w:t>
            </w:r>
          </w:p>
        </w:tc>
        <w:tc>
          <w:tcPr>
            <w:tcW w:type="dxa" w:w="4680"/>
            <w:vAlign w:val="center"/>
          </w:tcPr>
          <w:p>
            <w:pPr>
              <w:spacing w:after="0" w:line="240" w:lineRule="auto"/>
            </w:pPr>
            <w:r/>
            <w:r>
              <w:rPr>
                <w:rFonts w:ascii="Times New Roman" w:hAnsi="Times New Roman"/>
                <w:b w:val="0"/>
                <w:sz w:val="19"/>
              </w:rPr>
              <w:t>generate_explain_output.py and explain_water_rescue_GENERATE_LOCALLY.md document the Water Rescue explain output process.</w:t>
            </w:r>
          </w:p>
        </w:tc>
      </w:tr>
    </w:tbl>
    <w:p/>
    <w:p>
      <w:pPr>
        <w:spacing w:line="480" w:lineRule="auto" w:after="120"/>
      </w:pPr>
      <w:r>
        <w:rPr>
          <w:b/>
        </w:rPr>
        <w:t xml:space="preserve">Most relevant final files: </w:t>
      </w:r>
      <w:r>
        <w:rPr>
          <w:rFonts w:ascii="Courier New" w:hAnsi="Courier New"/>
          <w:sz w:val="21"/>
          <w:shd w:fill="EDEDED"/>
        </w:rPr>
        <w:t>CRUD_Python_Module_Enhanced.py</w:t>
      </w:r>
      <w:r>
        <w:t xml:space="preserve">, </w:t>
      </w:r>
      <w:r>
        <w:rPr>
          <w:rFonts w:ascii="Courier New" w:hAnsi="Courier New"/>
          <w:sz w:val="21"/>
          <w:shd w:fill="EDEDED"/>
        </w:rPr>
        <w:t>database_config.py</w:t>
      </w:r>
      <w:r>
        <w:t xml:space="preserve">, </w:t>
      </w:r>
      <w:r>
        <w:rPr>
          <w:rFonts w:ascii="Courier New" w:hAnsi="Courier New"/>
          <w:sz w:val="21"/>
          <w:shd w:fill="EDEDED"/>
        </w:rPr>
        <w:t>sample_queries.py</w:t>
      </w:r>
      <w:r>
        <w:t xml:space="preserve">, </w:t>
      </w:r>
      <w:r>
        <w:rPr>
          <w:rFonts w:ascii="Courier New" w:hAnsi="Courier New"/>
          <w:sz w:val="21"/>
          <w:shd w:fill="EDEDED"/>
        </w:rPr>
        <w:t>generate_explain_output.py</w:t>
      </w:r>
      <w:r>
        <w:t xml:space="preserve">, </w:t>
      </w:r>
      <w:r>
        <w:rPr>
          <w:rFonts w:ascii="Courier New" w:hAnsi="Courier New"/>
          <w:sz w:val="21"/>
          <w:shd w:fill="EDEDED"/>
        </w:rPr>
        <w:t>test_animal_shelter_enhanced.py</w:t>
      </w:r>
      <w:r>
        <w:t xml:space="preserve">, </w:t>
      </w:r>
      <w:r>
        <w:rPr>
          <w:rFonts w:ascii="Courier New" w:hAnsi="Courier New"/>
          <w:sz w:val="21"/>
          <w:shd w:fill="EDEDED"/>
        </w:rPr>
        <w:t>test_mongo_integration.py</w:t>
      </w:r>
      <w:r>
        <w:t xml:space="preserve">, </w:t>
      </w:r>
      <w:r>
        <w:rPr>
          <w:rFonts w:ascii="Courier New" w:hAnsi="Courier New"/>
          <w:sz w:val="21"/>
          <w:shd w:fill="EDEDED"/>
        </w:rPr>
        <w:t>TEST_OUTPUT_FINAL.txt</w:t>
      </w:r>
      <w:r>
        <w:t xml:space="preserve">, </w:t>
      </w:r>
      <w:r>
        <w:rPr>
          <w:rFonts w:ascii="Courier New" w:hAnsi="Courier New"/>
          <w:sz w:val="21"/>
          <w:shd w:fill="EDEDED"/>
        </w:rPr>
        <w:t>explain_water_rescue_GENERATE_LOCALLY.md</w:t>
      </w:r>
    </w:p>
    <w:p>
      <w:pPr>
        <w:pStyle w:val="Heading1"/>
      </w:pPr>
      <w:r>
        <w:t>Course Outcome Alignment</w:t>
      </w:r>
    </w:p>
    <w:p>
      <w:pPr>
        <w:spacing w:line="480" w:lineRule="auto" w:after="120"/>
      </w:pPr>
      <w:r>
        <w:t>This enhancement supports the collaborative-environment outcome because the data access layer, README, sample queries, tests, and explain-output instructions make the database behavior easier for another developer or stakeholder to understand. Instead of requiring a reviewer to infer how the dashboard communicates with MongoDB, the final artifact names the database, collection, configuration variables, allowed fields, result limits, and error behavior.</w:t>
      </w:r>
    </w:p>
    <w:p>
      <w:pPr>
        <w:spacing w:line="480" w:lineRule="auto" w:after="120"/>
      </w:pPr>
      <w:r>
        <w:t>It supports professional communication because the artifact is accompanied by a database narrative, README documentation, testing evidence, sample queries, and final ePortfolio notes. It supports the design and trade-off outcome because the enhancement balances query flexibility with safety: allowlisting restricts arbitrary query power, result caps protect performance, and indexes support common dashboard filters. It supports the tools-and-techniques outcome through Python, MongoDB, PyMongo, Dash/JupyterDash, environment-based configuration, sample queries, indexing, and unit/integration testing. Finally, it supports the security outcome by validating input, avoiding hard-coded secrets, limiting query behavior, protecting writes, and controlling error exposure.</w:t>
      </w:r>
    </w:p>
    <w:p>
      <w:pPr>
        <w:pStyle w:val="Heading1"/>
      </w:pPr>
      <w:r>
        <w:t>Reflection on the Enhancement Process</w:t>
      </w:r>
    </w:p>
    <w:p>
      <w:pPr>
        <w:spacing w:line="480" w:lineRule="auto" w:after="120"/>
      </w:pPr>
      <w:r>
        <w:t>Enhancing this artifact helped me move from simply connecting a dashboard to a database toward designing a safer and more maintainable database access layer. The original project showed that the dashboard could retrieve and display data, but the final version required me to think more carefully about what database operations should be allowed, how many records should be returned, how configuration should be supplied, and how query behavior should be verified.</w:t>
      </w:r>
    </w:p>
    <w:p>
      <w:pPr>
        <w:spacing w:line="480" w:lineRule="auto" w:after="120"/>
      </w:pPr>
      <w:r>
        <w:t>The biggest challenge was balancing flexibility and control. MongoDB supports powerful query documents, but a dashboard should not pass arbitrary fields or operators directly to the database. The allowlist approach required more structure, but it made the database layer safer and easier to review. The final polish also helped me understand the difference between mocked tests and integration evidence. Mocked tests are useful for validating logic without a live database, while a temporary MongoDB integration test and explain output provide stronger evidence that the database design behaves correctly in a real environment.</w:t>
      </w:r>
    </w:p>
    <w:p>
      <w:pPr>
        <w:spacing w:line="480" w:lineRule="auto" w:after="120"/>
      </w:pPr>
      <w:r>
        <w:t>The final artifact includes the temporary MongoDB integration test and explain-output workflow, but the actual explain JSON should be generated in a configured MongoDB environment before final GitHub Pages publication. The included instructions show the commands needed to run the integration test and generate the Water Rescue explain output locally.</w:t>
      </w:r>
    </w:p>
    <w:p>
      <w:pPr>
        <w:pStyle w:val="Heading1"/>
      </w:pPr>
      <w:r>
        <w:t>Conclusion</w:t>
      </w:r>
    </w:p>
    <w:p>
      <w:pPr>
        <w:spacing w:line="480" w:lineRule="auto" w:after="120"/>
      </w:pPr>
      <w:r>
        <w:t>The final polished CS 340 artifact demonstrates database skills through MongoDB CRUD design, safer query construction, result limiting, environment-based configuration, indexing, sample queries, mocked tests, optional integration testing, and explain-output evidence. It shows my ability to improve a database-backed application so it is safer, more maintainable, and more useful for organizational decision making.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