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sz w:val="32"/>
        </w:rPr>
        <w:t>CS 499 Final ePortfolio Narrative</w:t>
      </w:r>
    </w:p>
    <w:p>
      <w:pPr>
        <w:spacing w:line="240" w:lineRule="auto" w:after="120"/>
        <w:jc w:val="center"/>
      </w:pPr>
      <w:r>
        <w:rPr>
          <w:b/>
          <w:sz w:val="26"/>
        </w:rPr>
        <w:t>Enhancement One: Software Design and Engineering</w:t>
      </w:r>
    </w:p>
    <w:p>
      <w:pPr>
        <w:spacing w:line="240" w:lineRule="auto" w:after="240"/>
        <w:jc w:val="center"/>
      </w:pPr>
      <w:r>
        <w:rPr>
          <w:b/>
        </w:rPr>
        <w:t>Asher Nayer</w:t>
        <w:br/>
      </w:r>
      <w:r>
        <w:t>Artifact: CS 360 Event Tracking Android Application</w:t>
      </w:r>
    </w:p>
    <w:p>
      <w:pPr>
        <w:pStyle w:val="Heading1"/>
      </w:pPr>
      <w:r>
        <w:t>Brief Description of the Artifact</w:t>
      </w:r>
    </w:p>
    <w:p>
      <w:pPr>
        <w:spacing w:line="480" w:lineRule="auto" w:after="120"/>
      </w:pPr>
      <w:r>
        <w:t>The artifact selected for Enhancement One is the Event Tracking Android application from CS 360: Mobile Architecture and Programming. The original application allowed a user to create an account, log in, and manage personal events using local SQLite persistence. It included Android activity screens for login, dashboard viewing, and adding or editing events, along with repository classes that interacted with the SQLite database.</w:t>
      </w:r>
    </w:p>
    <w:p>
      <w:pPr>
        <w:spacing w:line="480" w:lineRule="auto" w:after="120"/>
      </w:pPr>
      <w:r>
        <w:t>For the final ePortfolio version, I continued polishing the enhanced artifact after the Milestone Two submission. The final version still preserves the purpose of the original mobile application, but it now better demonstrates secure authentication, user-scoped data access, schema evolution, and repository-based software design.</w:t>
      </w:r>
    </w:p>
    <w:p>
      <w:pPr>
        <w:pStyle w:val="Heading1"/>
      </w:pPr>
      <w:r>
        <w:t>Justification for Inclusion in the ePortfolio</w:t>
      </w:r>
    </w:p>
    <w:p>
      <w:pPr>
        <w:spacing w:line="480" w:lineRule="auto" w:after="120"/>
      </w:pPr>
      <w:r>
        <w:t>I selected this artifact because it demonstrates software design and engineering across multiple layers of a working mobile application. The artifact includes user interface behavior, data modeling, repository-based persistence, SQLite schema design, authentication logic, event CRUD operations, and Android permission handling. These features make it a strong example of how a software engineer must connect design decisions to working product behavior.</w:t>
      </w:r>
    </w:p>
    <w:p>
      <w:pPr>
        <w:spacing w:line="480" w:lineRule="auto" w:after="120"/>
      </w:pPr>
      <w:r>
        <w:t>The original application met the course requirements, but it also had realistic weaknesses that created a useful opportunity for enhancement. The most important weakness was plain-text password storage. Other areas for improvement included basic input validation, limited ownership protection for update and delete operations, display-oriented date/time storage, and a destructive schema-upgrade strategy that would not be acceptable in a production-style application.</w:t>
      </w:r>
    </w:p>
    <w:p>
      <w:pPr>
        <w:pStyle w:val="Heading1"/>
      </w:pPr>
      <w:r>
        <w:t>Enhancement and Final Polish Summary</w:t>
      </w:r>
    </w:p>
    <w:p>
      <w:pPr>
        <w:spacing w:line="480" w:lineRule="auto" w:after="120"/>
      </w:pPr>
      <w:r>
        <w:t>The Milestone Two enhancement added PBKDF2 salted password hashing, centralized validation, user-scoped event operations, and a machine-readable timestamp field. These changes made the artifact more secure, maintainable, and testable. After instructor feedback, I completed additional final polishing so the ePortfolio version more clearly addresses migration safety and verification evidence.</w:t>
      </w:r>
    </w:p>
    <w:tbl>
      <w:tblPr>
        <w:tblStyle w:val="TableGrid"/>
        <w:tblW w:type="auto" w:w="0"/>
        <w:jc w:val="center"/>
        <w:tblLook w:firstColumn="1" w:firstRow="1" w:lastColumn="0" w:lastRow="0" w:noHBand="0" w:noVBand="1" w:val="04A0"/>
      </w:tblPr>
      <w:tblGrid>
        <w:gridCol w:w="4680"/>
        <w:gridCol w:w="4680"/>
      </w:tblGrid>
      <w:tr>
        <w:tc>
          <w:tcPr>
            <w:tcW w:type="dxa" w:w="4680"/>
            <w:shd w:fill="1F2937"/>
            <w:vAlign w:val="center"/>
          </w:tcPr>
          <w:p>
            <w:pPr>
              <w:spacing w:after="0" w:line="240" w:lineRule="auto"/>
            </w:pPr>
            <w:r/>
            <w:r>
              <w:rPr>
                <w:rFonts w:ascii="Times New Roman" w:hAnsi="Times New Roman"/>
                <w:b/>
                <w:color w:val="FFFFFF"/>
                <w:sz w:val="19"/>
              </w:rPr>
              <w:t>Final polish item</w:t>
            </w:r>
          </w:p>
        </w:tc>
        <w:tc>
          <w:tcPr>
            <w:tcW w:type="dxa" w:w="4680"/>
            <w:shd w:fill="1F2937"/>
            <w:vAlign w:val="center"/>
          </w:tcPr>
          <w:p>
            <w:pPr>
              <w:spacing w:after="0" w:line="240" w:lineRule="auto"/>
            </w:pPr>
            <w:r/>
            <w:r>
              <w:rPr>
                <w:rFonts w:ascii="Times New Roman" w:hAnsi="Times New Roman"/>
                <w:b/>
                <w:color w:val="FFFFFF"/>
                <w:sz w:val="19"/>
              </w:rPr>
              <w:t>Evidence in final artifact</w:t>
            </w:r>
          </w:p>
        </w:tc>
      </w:tr>
      <w:tr>
        <w:tc>
          <w:tcPr>
            <w:tcW w:type="dxa" w:w="4680"/>
            <w:vAlign w:val="center"/>
          </w:tcPr>
          <w:p>
            <w:pPr>
              <w:spacing w:after="0" w:line="240" w:lineRule="auto"/>
            </w:pPr>
            <w:r/>
            <w:r>
              <w:rPr>
                <w:rFonts w:ascii="Times New Roman" w:hAnsi="Times New Roman"/>
                <w:b w:val="0"/>
                <w:sz w:val="19"/>
              </w:rPr>
              <w:t>Preserving schema migration</w:t>
            </w:r>
          </w:p>
        </w:tc>
        <w:tc>
          <w:tcPr>
            <w:tcW w:type="dxa" w:w="4680"/>
            <w:vAlign w:val="center"/>
          </w:tcPr>
          <w:p>
            <w:pPr>
              <w:spacing w:after="0" w:line="240" w:lineRule="auto"/>
            </w:pPr>
            <w:r/>
            <w:r>
              <w:rPr>
                <w:rFonts w:ascii="Times New Roman" w:hAnsi="Times New Roman"/>
                <w:b w:val="0"/>
                <w:sz w:val="19"/>
              </w:rPr>
              <w:t>DatabaseHelper.java now performs a non-destructive version 1 to version 2 migration instead of dropping the live users and events tables.</w:t>
            </w:r>
          </w:p>
        </w:tc>
      </w:tr>
      <w:tr>
        <w:tc>
          <w:tcPr>
            <w:tcW w:type="dxa" w:w="4680"/>
            <w:vAlign w:val="center"/>
          </w:tcPr>
          <w:p>
            <w:pPr>
              <w:spacing w:after="0" w:line="240" w:lineRule="auto"/>
            </w:pPr>
            <w:r/>
            <w:r>
              <w:rPr>
                <w:rFonts w:ascii="Times New Roman" w:hAnsi="Times New Roman"/>
                <w:b w:val="0"/>
                <w:sz w:val="19"/>
              </w:rPr>
              <w:t>Credential protection</w:t>
            </w:r>
          </w:p>
        </w:tc>
        <w:tc>
          <w:tcPr>
            <w:tcW w:type="dxa" w:w="4680"/>
            <w:vAlign w:val="center"/>
          </w:tcPr>
          <w:p>
            <w:pPr>
              <w:spacing w:after="0" w:line="240" w:lineRule="auto"/>
            </w:pPr>
            <w:r/>
            <w:r>
              <w:rPr>
                <w:rFonts w:ascii="Times New Roman" w:hAnsi="Times New Roman"/>
                <w:b w:val="0"/>
                <w:sz w:val="19"/>
              </w:rPr>
              <w:t>Version 1 plain-text passwords are converted to salted PBKDF2 hashes, and the legacy password column is removed by rebuilding the users table.</w:t>
            </w:r>
          </w:p>
        </w:tc>
      </w:tr>
      <w:tr>
        <w:tc>
          <w:tcPr>
            <w:tcW w:type="dxa" w:w="4680"/>
            <w:vAlign w:val="center"/>
          </w:tcPr>
          <w:p>
            <w:pPr>
              <w:spacing w:after="0" w:line="240" w:lineRule="auto"/>
            </w:pPr>
            <w:r/>
            <w:r>
              <w:rPr>
                <w:rFonts w:ascii="Times New Roman" w:hAnsi="Times New Roman"/>
                <w:b w:val="0"/>
                <w:sz w:val="19"/>
              </w:rPr>
              <w:t>Data preservation</w:t>
            </w:r>
          </w:p>
        </w:tc>
        <w:tc>
          <w:tcPr>
            <w:tcW w:type="dxa" w:w="4680"/>
            <w:vAlign w:val="center"/>
          </w:tcPr>
          <w:p>
            <w:pPr>
              <w:spacing w:after="0" w:line="240" w:lineRule="auto"/>
            </w:pPr>
            <w:r/>
            <w:r>
              <w:rPr>
                <w:rFonts w:ascii="Times New Roman" w:hAnsi="Times New Roman"/>
                <w:b w:val="0"/>
                <w:sz w:val="19"/>
              </w:rPr>
              <w:t>Existing user IDs, usernames, event IDs, event ownership, titles, dates, times, notes, and SMS flags are preserved during migration.</w:t>
            </w:r>
          </w:p>
        </w:tc>
      </w:tr>
      <w:tr>
        <w:tc>
          <w:tcPr>
            <w:tcW w:type="dxa" w:w="4680"/>
            <w:vAlign w:val="center"/>
          </w:tcPr>
          <w:p>
            <w:pPr>
              <w:spacing w:after="0" w:line="240" w:lineRule="auto"/>
            </w:pPr>
            <w:r/>
            <w:r>
              <w:rPr>
                <w:rFonts w:ascii="Times New Roman" w:hAnsi="Times New Roman"/>
                <w:b w:val="0"/>
                <w:sz w:val="19"/>
              </w:rPr>
              <w:t>Timestamp support</w:t>
            </w:r>
          </w:p>
        </w:tc>
        <w:tc>
          <w:tcPr>
            <w:tcW w:type="dxa" w:w="4680"/>
            <w:vAlign w:val="center"/>
          </w:tcPr>
          <w:p>
            <w:pPr>
              <w:spacing w:after="0" w:line="240" w:lineRule="auto"/>
            </w:pPr>
            <w:r/>
            <w:r>
              <w:rPr>
                <w:rFonts w:ascii="Times New Roman" w:hAnsi="Times New Roman"/>
                <w:b w:val="0"/>
                <w:sz w:val="19"/>
              </w:rPr>
              <w:t>event_timestamp is added to support machine-readable date/time logic while preserving display-friendly values.</w:t>
            </w:r>
          </w:p>
        </w:tc>
      </w:tr>
      <w:tr>
        <w:tc>
          <w:tcPr>
            <w:tcW w:type="dxa" w:w="4680"/>
            <w:vAlign w:val="center"/>
          </w:tcPr>
          <w:p>
            <w:pPr>
              <w:spacing w:after="0" w:line="240" w:lineRule="auto"/>
            </w:pPr>
            <w:r/>
            <w:r>
              <w:rPr>
                <w:rFonts w:ascii="Times New Roman" w:hAnsi="Times New Roman"/>
                <w:b w:val="0"/>
                <w:sz w:val="19"/>
              </w:rPr>
              <w:t>Testing evidence</w:t>
            </w:r>
          </w:p>
        </w:tc>
        <w:tc>
          <w:tcPr>
            <w:tcW w:type="dxa" w:w="4680"/>
            <w:vAlign w:val="center"/>
          </w:tcPr>
          <w:p>
            <w:pPr>
              <w:spacing w:after="0" w:line="240" w:lineRule="auto"/>
            </w:pPr>
            <w:r/>
            <w:r>
              <w:rPr>
                <w:rFonts w:ascii="Times New Roman" w:hAnsi="Times New Roman"/>
                <w:b w:val="0"/>
                <w:sz w:val="19"/>
              </w:rPr>
              <w:t>PasswordHasherTest.java, InputValidatorTest.java, EventRepositoryOwnershipInstrumentedTest.java, and DatabaseMigrationInstrumentedTest.java are included.</w:t>
            </w:r>
          </w:p>
        </w:tc>
      </w:tr>
      <w:tr>
        <w:tc>
          <w:tcPr>
            <w:tcW w:type="dxa" w:w="4680"/>
            <w:vAlign w:val="center"/>
          </w:tcPr>
          <w:p>
            <w:pPr>
              <w:spacing w:after="0" w:line="240" w:lineRule="auto"/>
            </w:pPr>
            <w:r/>
            <w:r>
              <w:rPr>
                <w:rFonts w:ascii="Times New Roman" w:hAnsi="Times New Roman"/>
                <w:b w:val="0"/>
                <w:sz w:val="19"/>
              </w:rPr>
              <w:t>Build verification notes</w:t>
            </w:r>
          </w:p>
        </w:tc>
        <w:tc>
          <w:tcPr>
            <w:tcW w:type="dxa" w:w="4680"/>
            <w:vAlign w:val="center"/>
          </w:tcPr>
          <w:p>
            <w:pPr>
              <w:spacing w:after="0" w:line="240" w:lineRule="auto"/>
            </w:pPr>
            <w:r/>
            <w:r>
              <w:rPr>
                <w:rFonts w:ascii="Times New Roman" w:hAnsi="Times New Roman"/>
                <w:b w:val="0"/>
                <w:sz w:val="19"/>
              </w:rPr>
              <w:t>BUILD_VERIFICATION.txt and FINAL_POLISH_NOTES.md document the remaining Android Studio build and manual workflow verification steps.</w:t>
            </w:r>
          </w:p>
        </w:tc>
      </w:tr>
    </w:tbl>
    <w:p/>
    <w:p>
      <w:pPr>
        <w:spacing w:line="480" w:lineRule="auto" w:after="120"/>
      </w:pPr>
      <w:r>
        <w:rPr>
          <w:b/>
        </w:rPr>
        <w:t xml:space="preserve">Most relevant final files: </w:t>
      </w:r>
      <w:r>
        <w:rPr>
          <w:rFonts w:ascii="Courier New" w:hAnsi="Courier New"/>
          <w:sz w:val="21"/>
          <w:shd w:fill="EDEDED"/>
        </w:rPr>
        <w:t>DatabaseHelper.java</w:t>
      </w:r>
      <w:r>
        <w:t xml:space="preserve">, </w:t>
      </w:r>
      <w:r>
        <w:rPr>
          <w:rFonts w:ascii="Courier New" w:hAnsi="Courier New"/>
          <w:sz w:val="21"/>
          <w:shd w:fill="EDEDED"/>
        </w:rPr>
        <w:t>PasswordHasher.java</w:t>
      </w:r>
      <w:r>
        <w:t xml:space="preserve">, </w:t>
      </w:r>
      <w:r>
        <w:rPr>
          <w:rFonts w:ascii="Courier New" w:hAnsi="Courier New"/>
          <w:sz w:val="21"/>
          <w:shd w:fill="EDEDED"/>
        </w:rPr>
        <w:t>InputValidator.java</w:t>
      </w:r>
      <w:r>
        <w:t xml:space="preserve">, </w:t>
      </w:r>
      <w:r>
        <w:rPr>
          <w:rFonts w:ascii="Courier New" w:hAnsi="Courier New"/>
          <w:sz w:val="21"/>
          <w:shd w:fill="EDEDED"/>
        </w:rPr>
        <w:t>UserRepository.java</w:t>
      </w:r>
      <w:r>
        <w:t xml:space="preserve">, </w:t>
      </w:r>
      <w:r>
        <w:rPr>
          <w:rFonts w:ascii="Courier New" w:hAnsi="Courier New"/>
          <w:sz w:val="21"/>
          <w:shd w:fill="EDEDED"/>
        </w:rPr>
        <w:t>EventRepository.java</w:t>
      </w:r>
      <w:r>
        <w:t xml:space="preserve">, </w:t>
      </w:r>
      <w:r>
        <w:rPr>
          <w:rFonts w:ascii="Courier New" w:hAnsi="Courier New"/>
          <w:sz w:val="21"/>
          <w:shd w:fill="EDEDED"/>
        </w:rPr>
        <w:t>Event.java</w:t>
      </w:r>
      <w:r>
        <w:t xml:space="preserve">, </w:t>
      </w:r>
      <w:r>
        <w:rPr>
          <w:rFonts w:ascii="Courier New" w:hAnsi="Courier New"/>
          <w:sz w:val="21"/>
          <w:shd w:fill="EDEDED"/>
        </w:rPr>
        <w:t>PasswordHasherTest.java</w:t>
      </w:r>
      <w:r>
        <w:t xml:space="preserve">, </w:t>
      </w:r>
      <w:r>
        <w:rPr>
          <w:rFonts w:ascii="Courier New" w:hAnsi="Courier New"/>
          <w:sz w:val="21"/>
          <w:shd w:fill="EDEDED"/>
        </w:rPr>
        <w:t>EventRepositoryOwnershipInstrumentedTest.java</w:t>
      </w:r>
      <w:r>
        <w:t xml:space="preserve">, </w:t>
      </w:r>
      <w:r>
        <w:rPr>
          <w:rFonts w:ascii="Courier New" w:hAnsi="Courier New"/>
          <w:sz w:val="21"/>
          <w:shd w:fill="EDEDED"/>
        </w:rPr>
        <w:t>DatabaseMigrationInstrumentedTest.java</w:t>
      </w:r>
    </w:p>
    <w:p>
      <w:pPr>
        <w:pStyle w:val="Heading1"/>
      </w:pPr>
      <w:r>
        <w:t>Course Outcome Alignment</w:t>
      </w:r>
    </w:p>
    <w:p>
      <w:pPr>
        <w:spacing w:line="480" w:lineRule="auto" w:after="120"/>
      </w:pPr>
      <w:r>
        <w:t>This enhancement supports the collaborative-environment outcome because the final version separates responsibilities into clearer classes and includes documentation that makes the artifact easier for another developer or reviewer to follow. The refactored repository and helper classes make the system easier to discuss in a code review, and the added tests create evidence that other developers can use to verify behavior.</w:t>
      </w:r>
    </w:p>
    <w:p>
      <w:pPr>
        <w:spacing w:line="480" w:lineRule="auto" w:after="120"/>
      </w:pPr>
      <w:r>
        <w:t>It supports professional communication because the artifact is accompanied by a narrative, README documentation, final polish notes, testing notes, and clear file organization. These materials explain not only what was changed, but why the changes matter. The work also supports the industry-tools outcome through Android development, Java, SQLite, repository-based design, PBKDF2 hashing, unit testing, and instrumented testing. Finally, it strongly supports the security outcome because it addresses password storage, input validation, user ownership checks, schema migration safety, and data preservation.</w:t>
      </w:r>
    </w:p>
    <w:p>
      <w:pPr>
        <w:pStyle w:val="Heading1"/>
      </w:pPr>
      <w:r>
        <w:t>Reflection on the Enhancement Process</w:t>
      </w:r>
    </w:p>
    <w:p>
      <w:pPr>
        <w:spacing w:line="480" w:lineRule="auto" w:after="120"/>
      </w:pPr>
      <w:r>
        <w:t>Enhancing this artifact helped me understand the difference between making an application functional and making it professionally maintainable. The original version worked, but the final ePortfolio version required me to think about what would happen after the first release: how passwords should be protected, how user data should remain scoped to the correct account, how schema changes should preserve existing data, and how another developer would verify the behavior.</w:t>
      </w:r>
    </w:p>
    <w:p>
      <w:pPr>
        <w:spacing w:line="480" w:lineRule="auto" w:after="120"/>
      </w:pPr>
      <w:r>
        <w:t>The largest challenge was handling the schema change responsibly. My first enhanced version used a destructive upgrade path because it recreated the database with the new schema. That approach was simple but unsafe because it would delete existing users and events. The final polish required a better migration strategy that preserved the data and converted the legacy password values into the new hashed-password format. This made the artifact stronger because it showed attention to future maintenance, not just current functionality.</w:t>
      </w:r>
    </w:p>
    <w:p>
      <w:pPr>
        <w:spacing w:line="480" w:lineRule="auto" w:after="120"/>
      </w:pPr>
      <w:r>
        <w:t>Full Android execution should still be completed in Android Studio or a configured Android environment before final publication because this preparation environment could not download Gradle and Android dependencies. The final artifact includes the test files and verification instructions needed to complete that final build and manual workflow check.</w:t>
      </w:r>
    </w:p>
    <w:p>
      <w:pPr>
        <w:pStyle w:val="Heading1"/>
      </w:pPr>
      <w:r>
        <w:t>Conclusion</w:t>
      </w:r>
    </w:p>
    <w:p>
      <w:pPr>
        <w:spacing w:line="480" w:lineRule="auto" w:after="120"/>
      </w:pPr>
      <w:r>
        <w:t>The final polished Event Tracking App demonstrates growth in software design and engineering by improving authentication, validation, repository design, event ownership protection, timestamp handling, migration safety, and testing evidence. It is a strong ePortfolio artifact because it shows how a course project can be refined into a more secure, maintainable, and professionally documented mobile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