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F45D4F"/>
          <w:sz w:val="18"/>
        </w:rPr>
        <w:t>SIDE QUEST  /  CHECKPOINT 1</w:t>
      </w:r>
    </w:p>
    <w:p>
      <w:pPr>
        <w:pStyle w:val="Title"/>
      </w:pPr>
      <w:r>
        <w:t>Account Access and Local Operating Model</w:t>
      </w:r>
    </w:p>
    <w:p>
      <w:pPr>
        <w:pStyle w:val="Subtitle"/>
      </w:pPr>
      <w:r>
        <w:t>Validation record and decisions required before a local pilot</w:t>
      </w:r>
    </w:p>
    <w:p>
      <w:pPr/>
      <w:r>
        <w:rPr>
          <w:b/>
          <w:color w:val="F45D4F"/>
        </w:rPr>
        <w:t xml:space="preserve">Record date  </w:t>
      </w:r>
      <w:r>
        <w:t>25 September 2026</w:t>
      </w:r>
    </w:p>
    <w:p>
      <w:pPr/>
      <w:r>
        <w:rPr>
          <w:b/>
          <w:color w:val="F45D4F"/>
        </w:rPr>
        <w:t xml:space="preserve">Status  </w:t>
      </w:r>
      <w:r>
        <w:t>In progress — the independent operating baseline is ready for owner and qualified reviewer decisions; the CP1 exit gate is not passed.</w:t>
      </w:r>
    </w:p>
    <w:p>
      <w:pPr>
        <w:pStyle w:val="Heading1"/>
      </w:pPr>
      <w:r>
        <w:t>Purpose and conclusion</w:t>
      </w:r>
    </w:p>
    <w:p>
      <w:pPr/>
      <w:r>
        <w:t>CP1 translates the open-access, student-centered premise into a workable local operating baseline. The whole of Dubai Academic City is the planned initial operating area, not a smaller pilot zone. Keep expansion to other areas in mind for later phases, after the pilot is reviewed. Google sign-in or email/password are selected account-access methods. Any account holder aged 18 or older may join, subject to account-integrity and safety rules; student status is not a general-access requirement. For now, require an 18+ self-declaration during sign-up. Google sign-in confirms account access but does not itself confirm age. Treat self-declaration as an interim approach, not as legally approved age assurance. Use Mapbox as the initial map provider and switch to Google Maps only if coverage or usability across Academic City is inadequate. The exact map boundary, age-assurance requirements, approved venue list, privacy/legal reviewer, backup moderator, and moderation coverage remain open.</w:t>
      </w:r>
    </w:p>
    <w:p>
      <w:pPr/>
      <w:r>
        <w:t>Side Quest can proceed with design and planning without any university partner or student-status verification provider. A real pilot remains gated on approved controls to enforce the 18+ rule, privacy, venue, account-abuse, and moderation evidence for the selected operating jurisdiction.</w:t>
      </w:r>
    </w:p>
    <w:p>
      <w:pPr>
        <w:pStyle w:val="Heading1"/>
      </w:pPr>
      <w:r>
        <w:t>Working baseline</w:t>
      </w:r>
    </w:p>
    <w:tbl>
      <w:tblPr>
        <w:tblW w:type="auto" w:w="0"/>
        <w:tblLook w:firstColumn="1" w:firstRow="1" w:lastColumn="0" w:lastRow="0" w:noHBand="0" w:noVBand="1" w:val="04A0"/>
      </w:tblPr>
      <w:tblGrid>
        <w:gridCol w:w="3331"/>
        <w:gridCol w:w="3331"/>
        <w:gridCol w:w="3331"/>
      </w:tblGrid>
      <w:tr>
        <w:trPr>
          <w:tblHeader w:val="true"/>
        </w:trPr>
        <w:tc>
          <w:tcPr>
            <w:tcW w:type="dxa" w:w="1944"/>
            <w:shd w:fill="F4D3CE"/>
          </w:tcPr>
          <w:p>
            <w:r>
              <w:rPr>
                <w:b/>
              </w:rPr>
              <w:t>Area</w:t>
            </w:r>
          </w:p>
        </w:tc>
        <w:tc>
          <w:tcPr>
            <w:tcW w:type="dxa" w:w="4968"/>
            <w:shd w:fill="F4D3CE"/>
          </w:tcPr>
          <w:p>
            <w:r>
              <w:rPr>
                <w:b/>
              </w:rPr>
              <w:t>Baseline for CP1</w:t>
            </w:r>
          </w:p>
        </w:tc>
        <w:tc>
          <w:tcPr>
            <w:tcW w:type="dxa" w:w="3096"/>
            <w:shd w:fill="F4D3CE"/>
          </w:tcPr>
          <w:p>
            <w:r>
              <w:rPr>
                <w:b/>
              </w:rPr>
              <w:t>Disposition</w:t>
            </w:r>
          </w:p>
        </w:tc>
      </w:tr>
      <w:tr>
        <w:tc>
          <w:tcPr>
            <w:tcW w:type="dxa" w:w="1944"/>
          </w:tcPr>
          <w:p>
            <w:r>
              <w:t>Platform boundary</w:t>
            </w:r>
          </w:p>
        </w:tc>
        <w:tc>
          <w:tcPr>
            <w:tcW w:type="dxa" w:w="4968"/>
          </w:tcPr>
          <w:p>
            <w:r>
              <w:t>Independent, student-centered local connection platform open to any eligible account holder. Students across institutions are a core audience, not an access boundary. A campus, club, school domain, or university integration is not required.</w:t>
            </w:r>
          </w:p>
        </w:tc>
        <w:tc>
          <w:tcPr>
            <w:tcW w:type="dxa" w:w="3096"/>
          </w:tcPr>
          <w:p>
            <w:r>
              <w:t>Confirmed; no institution approval or student-status proof assumed for general access.</w:t>
            </w:r>
          </w:p>
        </w:tc>
      </w:tr>
      <w:tr>
        <w:tc>
          <w:tcPr>
            <w:tcW w:type="dxa" w:w="1944"/>
          </w:tcPr>
          <w:p>
            <w:r>
              <w:t>Operating geography</w:t>
            </w:r>
          </w:p>
        </w:tc>
        <w:tc>
          <w:tcPr>
            <w:tcW w:type="dxa" w:w="4968"/>
          </w:tcPr>
          <w:p>
            <w:r>
              <w:t>Use the whole of Dubai Academic City as the initial area; stage a four-week invited pilot of up to 20 adult accounts (10 initially, up to 10 more after the first-week review if manageable). Use Mapbox initially, with Google Maps as fallback if full-area coverage or usability is inadequate. Students across institutions remain a core audience.</w:t>
            </w:r>
          </w:p>
        </w:tc>
        <w:tc>
          <w:tcPr>
            <w:tcW w:type="dxa" w:w="3096"/>
          </w:tcPr>
          <w:p>
            <w:r>
              <w:t>Whole area selected; validate map boundary, Mapbox coverage, public venues, pilot cohort, and review criteria before invitations.</w:t>
            </w:r>
          </w:p>
        </w:tc>
      </w:tr>
      <w:tr>
        <w:tc>
          <w:tcPr>
            <w:tcW w:type="dxa" w:w="1944"/>
          </w:tcPr>
          <w:p>
            <w:r>
              <w:t>Student verification</w:t>
            </w:r>
          </w:p>
        </w:tc>
        <w:tc>
          <w:tcPr>
            <w:tcW w:type="dxa" w:w="4968"/>
          </w:tcPr>
          <w:p>
            <w:r>
              <w:t>Student-status verification is not required for general platform access in the MVP. Do not collect enrollment records or use an institution domain as an access gate. A future optional student/community indicator would require a separate product and privacy decision.</w:t>
            </w:r>
          </w:p>
        </w:tc>
        <w:tc>
          <w:tcPr>
            <w:tcW w:type="dxa" w:w="3096"/>
          </w:tcPr>
          <w:p>
            <w:r>
              <w:t>Resolved for MVP: no general student-status check. Optional community membership may restrict only explicitly limited content.</w:t>
            </w:r>
          </w:p>
        </w:tc>
      </w:tr>
      <w:tr>
        <w:tc>
          <w:tcPr>
            <w:tcW w:type="dxa" w:w="3331"/>
          </w:tcPr>
          <w:p>
            <w:r>
              <w:t>Account authentication</w:t>
            </w:r>
          </w:p>
        </w:tc>
        <w:tc>
          <w:tcPr>
            <w:tcW w:type="dxa" w:w="3331"/>
          </w:tcPr>
          <w:p>
            <w:r>
              <w:t>Support Google sign-in and email/password for account holders aged 18 or older. Use Supabase Auth Free for the initial build, subject to current limits. Require email confirmation for password accounts; arrange production SMTP before real-user registration.</w:t>
            </w:r>
          </w:p>
        </w:tc>
        <w:tc>
          <w:tcPr>
            <w:tcW w:type="dxa" w:w="3331"/>
          </w:tcPr>
          <w:p>
            <w:r>
              <w:t>Methods and initial provider selected; confirmation required; SMTP, recovery, linking, duplicate-account and abuse controls remain to configure.</w:t>
            </w:r>
          </w:p>
        </w:tc>
      </w:tr>
      <w:tr>
        <w:tc>
          <w:tcPr>
            <w:tcW w:type="dxa" w:w="1944"/>
          </w:tcPr>
          <w:p>
            <w:r>
              <w:t>18+ age assurance</w:t>
            </w:r>
          </w:p>
        </w:tc>
        <w:tc>
          <w:tcPr>
            <w:tcW w:type="dxa" w:w="4968"/>
          </w:tcPr>
          <w:p>
            <w:r>
              <w:t>The minimum age is 18. The interim sign-up flow requires user self-declaration. Obtain qualified UAE review of platform classification and whether additional age-assurance controls are required; define necessary evidence and minimize retained age data. Do not infer age from student status.</w:t>
            </w:r>
          </w:p>
        </w:tc>
        <w:tc>
          <w:tcPr>
            <w:tcW w:type="dxa" w:w="3096"/>
          </w:tcPr>
          <w:p>
            <w:r>
              <w:t>Interim self-declaration selected; legal sufficiency and additional controls open; launch blocker.</w:t>
            </w:r>
          </w:p>
        </w:tc>
      </w:tr>
      <w:tr>
        <w:tc>
          <w:tcPr>
            <w:tcW w:type="dxa" w:w="1944"/>
          </w:tcPr>
          <w:p>
            <w:r>
              <w:t>Meetup locations</w:t>
            </w:r>
          </w:p>
        </w:tc>
        <w:tc>
          <w:tcPr>
            <w:tcW w:type="dxa" w:w="4968"/>
          </w:tcPr>
          <w:p>
            <w:r>
              <w:t>Use only reviewed, publicly accessible meetup places in the initial pilot. Campus-controlled, restricted, or other permissioned venues are out of scope for this launch. Check operating hours, public access, accessibility, and suitability. Use approximate quest meeting points, not user tracking; do not use homes or private addresses.</w:t>
            </w:r>
          </w:p>
        </w:tc>
        <w:tc>
          <w:tcPr>
            <w:tcW w:type="dxa" w:w="3096"/>
          </w:tcPr>
          <w:p>
            <w:r>
              <w:t>Specific venue list and area review remain open.</w:t>
            </w:r>
          </w:p>
        </w:tc>
      </w:tr>
      <w:tr>
        <w:tc>
          <w:tcPr>
            <w:tcW w:type="dxa" w:w="1944"/>
          </w:tcPr>
          <w:p>
            <w:r>
              <w:t>Institution-controlled resources</w:t>
            </w:r>
          </w:p>
        </w:tc>
        <w:tc>
          <w:tcPr>
            <w:tcW w:type="dxa" w:w="4968"/>
          </w:tcPr>
          <w:p>
            <w:r>
              <w:t>The initial pilot excludes restricted campus venues. A later phase may consider them only after separate permission and access/safety review. University marks, official channels, identity systems, and integrations are also optional and not required to launch.</w:t>
            </w:r>
          </w:p>
        </w:tc>
        <w:tc>
          <w:tcPr>
            <w:tcW w:type="dxa" w:w="3096"/>
          </w:tcPr>
          <w:p>
            <w:r>
              <w:t>No such permission is assumed or currently recorded.</w:t>
            </w:r>
          </w:p>
        </w:tc>
      </w:tr>
      <w:tr>
        <w:tc>
          <w:tcPr>
            <w:tcW w:type="dxa" w:w="1944"/>
          </w:tcPr>
          <w:p>
            <w:r>
              <w:t>Quest and favor scope</w:t>
            </w:r>
          </w:p>
        </w:tc>
        <w:tc>
          <w:tcPr>
            <w:tcW w:type="dxa" w:w="4968"/>
          </w:tcPr>
          <w:p>
            <w:r>
              <w:t>Initial allowlist: Activities—co-study/accountability sessions, language practice, board/card games, casual public-area walks, and non-contact recreational sports at public facilities. Bounded Favors—directions or help locating public services within Academic City; brief explanation of general study concepts; and proofreading short, non-sensitive, non-assessed text. Do not allow completing assessed work, transport, money handling, valuables, credentials, medical/emergency help, heavy or hazardous tasks, controlled goods, home/private visits, or other prohibited requests.</w:t>
            </w:r>
          </w:p>
        </w:tc>
        <w:tc>
          <w:tcPr>
            <w:tcW w:type="dxa" w:w="3096"/>
          </w:tcPr>
          <w:p>
            <w:r>
              <w:t>Initial safe category allowlist set; confirm content guidance and review/escalation rules before seeding.</w:t>
            </w:r>
          </w:p>
        </w:tc>
      </w:tr>
      <w:tr>
        <w:tc>
          <w:tcPr>
            <w:tcW w:type="dxa" w:w="1944"/>
          </w:tcPr>
          <w:p>
            <w:r>
              <w:t>Moderation</w:t>
            </w:r>
          </w:p>
        </w:tc>
        <w:tc>
          <w:tcPr>
            <w:tcW w:type="dxa" w:w="4968"/>
          </w:tcPr>
          <w:p>
            <w:r>
              <w:t>The product owner is the initial primary moderator and will handle reports when available. A named backup, actual service hours, response targets, escalation, appeals, evidence-access rules, and pause criteria are required before pilot invitations. The role may change later.</w:t>
            </w:r>
          </w:p>
        </w:tc>
        <w:tc>
          <w:tcPr>
            <w:tcW w:type="dxa" w:w="3096"/>
          </w:tcPr>
          <w:p>
            <w:r>
              <w:t>Primary assigned; backup and coverage details remain open; launch blocker.</w:t>
            </w:r>
          </w:p>
        </w:tc>
      </w:tr>
      <w:tr>
        <w:tc>
          <w:tcPr>
            <w:tcW w:type="dxa" w:w="1944"/>
          </w:tcPr>
          <w:p>
            <w:r>
              <w:t>Privacy and data</w:t>
            </w:r>
          </w:p>
        </w:tc>
        <w:tc>
          <w:tcPr>
            <w:tcW w:type="dxa" w:w="4968"/>
          </w:tcPr>
          <w:p>
            <w:r>
              <w:t>Before real student data is stored, approve the data inventory, lawful handling basis, processors, hosting region and transfers, retention, deletion/export, legal holds, and incident ownership. Do not store continuous GPS trails; keep proof private by default.</w:t>
            </w:r>
          </w:p>
        </w:tc>
        <w:tc>
          <w:tcPr>
            <w:tcW w:type="dxa" w:w="3096"/>
          </w:tcPr>
          <w:p>
            <w:r>
              <w:t>Qualified jurisdiction-specific review and signed decisions remain open.</w:t>
            </w:r>
          </w:p>
        </w:tc>
      </w:tr>
    </w:tbl>
    <w:p/>
    <w:p>
      <w:pPr>
        <w:pStyle w:val="Heading1"/>
      </w:pPr>
      <w:r>
        <w:t>Account access and eligibility controls</w:t>
      </w:r>
    </w:p>
    <w:p>
      <w:pPr/>
      <w:r>
        <w:t>Google sign-in and email/password are the selected account-access options. Use Supabase Auth on its Free plan for the initial build, subject to its current quotas and operational limits. Require email confirmation for email/password accounts; configure a production SMTP sender before accepting real sign-ups. Define account recovery, account linking, duplicate-account handling, and abuse controls.  No student-status data is required for general platform use; optional community restrictions must be narrowly scoped.</w:t>
      </w:r>
    </w:p>
    <w:tbl>
      <w:tblPr>
        <w:tblW w:type="auto" w:w="0"/>
        <w:tblLook w:firstColumn="1" w:firstRow="1" w:lastColumn="0" w:lastRow="0" w:noHBand="0" w:noVBand="1" w:val="04A0"/>
      </w:tblPr>
      <w:tblGrid>
        <w:gridCol w:w="3331"/>
        <w:gridCol w:w="3331"/>
        <w:gridCol w:w="3331"/>
      </w:tblGrid>
      <w:tr>
        <w:trPr>
          <w:tblHeader w:val="true"/>
        </w:trPr>
        <w:tc>
          <w:tcPr>
            <w:tcW w:type="dxa" w:w="2160"/>
            <w:shd w:fill="F4D3CE"/>
          </w:tcPr>
          <w:p>
            <w:r>
              <w:rPr>
                <w:b/>
              </w:rPr>
              <w:t>Candidate route</w:t>
            </w:r>
          </w:p>
        </w:tc>
        <w:tc>
          <w:tcPr>
            <w:tcW w:type="dxa" w:w="3456"/>
            <w:shd w:fill="F4D3CE"/>
          </w:tcPr>
          <w:p>
            <w:r>
              <w:rPr>
                <w:b/>
              </w:rPr>
              <w:t>Potential fit</w:t>
            </w:r>
          </w:p>
        </w:tc>
        <w:tc>
          <w:tcPr>
            <w:tcW w:type="dxa" w:w="4392"/>
            <w:shd w:fill="F4D3CE"/>
          </w:tcPr>
          <w:p>
            <w:r>
              <w:rPr>
                <w:b/>
              </w:rPr>
              <w:t>Risks to test before selection</w:t>
            </w:r>
          </w:p>
        </w:tc>
      </w:tr>
      <w:tr>
        <w:tc>
          <w:tcPr>
            <w:tcW w:type="dxa" w:w="2160"/>
          </w:tcPr>
          <w:p>
            <w:r>
              <w:t>Google sign-in</w:t>
            </w:r>
          </w:p>
        </w:tc>
        <w:tc>
          <w:tcPr>
            <w:tcW w:type="dxa" w:w="3456"/>
          </w:tcPr>
          <w:p>
            <w:r>
              <w:t>Selected account-access method.</w:t>
            </w:r>
          </w:p>
        </w:tc>
        <w:tc>
          <w:tcPr>
            <w:tcW w:type="dxa" w:w="4392"/>
          </w:tcPr>
          <w:p>
            <w:r>
              <w:t>Choose an authentication service; request only needed identity scopes; define recovery, linking, and duplicate-account handling.</w:t>
            </w:r>
          </w:p>
        </w:tc>
      </w:tr>
      <w:tr>
        <w:tc>
          <w:tcPr>
            <w:tcW w:type="dxa" w:w="2160"/>
          </w:tcPr>
          <w:p>
            <w:r>
              <w:t>Email/password</w:t>
            </w:r>
          </w:p>
        </w:tc>
        <w:tc>
          <w:tcPr>
            <w:tcW w:type="dxa" w:w="3456"/>
          </w:tcPr>
          <w:p>
            <w:r>
              <w:t>Selected account-access method.</w:t>
            </w:r>
          </w:p>
        </w:tc>
        <w:tc>
          <w:tcPr>
            <w:tcW w:type="dxa" w:w="4392"/>
          </w:tcPr>
          <w:p>
            <w:r>
              <w:t>Choose credential storage and recovery controls; decide email confirmation, rate limiting, password reset, and abuse response.</w:t>
            </w:r>
          </w:p>
        </w:tc>
      </w:tr>
      <w:tr>
        <w:tc>
          <w:tcPr>
            <w:tcW w:type="dxa" w:w="2160"/>
          </w:tcPr>
          <w:p>
            <w:r>
              <w:t>Student-status check</w:t>
            </w:r>
          </w:p>
        </w:tc>
        <w:tc>
          <w:tcPr>
            <w:tcW w:type="dxa" w:w="3456"/>
          </w:tcPr>
          <w:p>
            <w:r>
              <w:t>Not required for general platform access in the MVP.</w:t>
            </w:r>
          </w:p>
        </w:tc>
        <w:tc>
          <w:tcPr>
            <w:tcW w:type="dxa" w:w="4392"/>
          </w:tcPr>
          <w:p>
            <w:r>
              <w:t>Do not collect student documents or block general accounts based on school or enrollment. Any future optional label/community gate needs a separate decision.</w:t>
            </w:r>
          </w:p>
        </w:tc>
      </w:tr>
      <w:tr>
        <w:tc>
          <w:tcPr>
            <w:tcW w:type="dxa" w:w="2160"/>
          </w:tcPr>
          <w:p>
            <w:r>
              <w:t>Optional communities</w:t>
            </w:r>
          </w:p>
        </w:tc>
        <w:tc>
          <w:tcPr>
            <w:tcW w:type="dxa" w:w="3456"/>
          </w:tcPr>
          <w:p>
            <w:r>
              <w:t>Can add context for clubs, events, or deliberately restricted quests.</w:t>
            </w:r>
          </w:p>
        </w:tc>
        <w:tc>
          <w:tcPr>
            <w:tcW w:type="dxa" w:w="4392"/>
          </w:tcPr>
          <w:p>
            <w:r>
              <w:t>Membership checks must affect only content explicitly restricted to that community; they must not block general discovery or participation.</w:t>
            </w:r>
          </w:p>
        </w:tc>
      </w:tr>
    </w:tbl>
    <w:p/>
    <w:p>
      <w:pPr/>
      <w:r>
        <w:t>Decision rule  Configure both selected sign-in routes before implementation and require an explicit 18+ self-declaration during registration. Google sign-in authenticates the account; it is not proof of age. Account access does not establish that a person is 18 or older or safe to interact with. Apply the 18+ and safety rules consistently to Google and email/password accounts. Do not add a student-status gate to general access.</w:t>
      </w:r>
    </w:p>
    <w:p>
      <w:pPr>
        <w:pStyle w:val="Heading1"/>
      </w:pPr>
      <w:r>
        <w:t>Jurisdiction review flag</w:t>
      </w:r>
    </w:p>
    <w:p>
      <w:pPr/>
      <w:r>
        <w:t>The selected first launch area, Dubai Academic City, establishes the UAE as the working pilot jurisdiction. Official UAE materials describe a federal personal-data framework with controls on personal-data processing and cross-border transfers. Official UAE child-safety materials also describe age-related platform obligations; current official guidance says children under 15 may not create or use personal social-media accounts, while the child digital safety law provides age-verification and age-restriction obligations for covered platforms. Whether Side Quest falls within particular platform categories, what rules apply to its planned interactions, and whether any additional Dubai or zone-specific requirements apply require qualified UAE legal/privacy review. This record is an issue flag, not a legal determination.</w:t>
      </w:r>
    </w:p>
    <w:p>
      <w:pPr/>
      <w:r>
        <w:t>Side Quest’s product rule is 18+ only. Do not open production registration until age-assurance controls and the applicable UAE review are approved; this review does not leave the minimum-age decision open.</w:t>
      </w:r>
    </w:p>
    <w:p>
      <w:pPr>
        <w:pStyle w:val="Heading1"/>
      </w:pPr>
      <w:r>
        <w:t>Decisions and evidence still required</w:t>
      </w:r>
    </w:p>
    <w:tbl>
      <w:tblPr>
        <w:tblW w:type="auto" w:w="0"/>
        <w:tblLook w:firstColumn="1" w:firstRow="1" w:lastColumn="0" w:lastRow="0" w:noHBand="0" w:noVBand="1" w:val="04A0"/>
      </w:tblPr>
      <w:tblGrid>
        <w:gridCol w:w="2498"/>
        <w:gridCol w:w="2498"/>
        <w:gridCol w:w="2498"/>
        <w:gridCol w:w="2498"/>
      </w:tblGrid>
      <w:tr>
        <w:trPr>
          <w:tblHeader w:val="true"/>
        </w:trPr>
        <w:tc>
          <w:tcPr>
            <w:tcW w:type="dxa" w:w="1037"/>
            <w:shd w:fill="F4D3CE"/>
          </w:tcPr>
          <w:p>
            <w:r>
              <w:rPr>
                <w:b/>
              </w:rPr>
              <w:t>ID</w:t>
            </w:r>
          </w:p>
        </w:tc>
        <w:tc>
          <w:tcPr>
            <w:tcW w:type="dxa" w:w="4392"/>
            <w:shd w:fill="F4D3CE"/>
          </w:tcPr>
          <w:p>
            <w:r>
              <w:rPr>
                <w:b/>
              </w:rPr>
              <w:t>Decision or evidence</w:t>
            </w:r>
          </w:p>
        </w:tc>
        <w:tc>
          <w:tcPr>
            <w:tcW w:type="dxa" w:w="2376"/>
            <w:shd w:fill="F4D3CE"/>
          </w:tcPr>
          <w:p>
            <w:r>
              <w:rPr>
                <w:b/>
              </w:rPr>
              <w:t>Owner needed</w:t>
            </w:r>
          </w:p>
        </w:tc>
        <w:tc>
          <w:tcPr>
            <w:tcW w:type="dxa" w:w="2232"/>
            <w:shd w:fill="F4D3CE"/>
          </w:tcPr>
          <w:p>
            <w:r>
              <w:rPr>
                <w:b/>
              </w:rPr>
              <w:t>Status / gate</w:t>
            </w:r>
          </w:p>
        </w:tc>
      </w:tr>
      <w:tr>
        <w:tc>
          <w:tcPr>
            <w:tcW w:type="dxa" w:w="1037"/>
          </w:tcPr>
          <w:p>
            <w:r>
              <w:t>CP1-01</w:t>
            </w:r>
          </w:p>
        </w:tc>
        <w:tc>
          <w:tcPr>
            <w:tcW w:type="dxa" w:w="4392"/>
          </w:tcPr>
          <w:p>
            <w:r>
              <w:t>Use the whole of Dubai Academic City as the initial launch area and keep future geographic expansion configurable. Validate the map boundary, public meetup inventory, and location-specific review requirements before launch. Use Mapbox initially; switch to Google Maps if testing shows inadequate coverage or usability. Each later area needs a separate readiness review.</w:t>
            </w:r>
          </w:p>
        </w:tc>
        <w:tc>
          <w:tcPr>
            <w:tcW w:type="dxa" w:w="2376"/>
          </w:tcPr>
          <w:p>
            <w:r>
              <w:t>Product owner; qualified privacy/legal reviewer</w:t>
            </w:r>
          </w:p>
        </w:tc>
        <w:tc>
          <w:tcPr>
            <w:tcW w:type="dxa" w:w="2232"/>
          </w:tcPr>
          <w:p>
            <w:r>
              <w:t>Area selected; boundary/cohort validation open before invitations.</w:t>
            </w:r>
          </w:p>
        </w:tc>
      </w:tr>
      <w:tr>
        <w:tc>
          <w:tcPr>
            <w:tcW w:type="dxa" w:w="1037"/>
          </w:tcPr>
          <w:p>
            <w:r>
              <w:t>CP1-02</w:t>
            </w:r>
          </w:p>
        </w:tc>
        <w:tc>
          <w:tcPr>
            <w:tcW w:type="dxa" w:w="4392"/>
          </w:tcPr>
          <w:p>
            <w:r>
              <w:t>The minimum age is 18 and sign-up will initially require self-declaration. Obtain qualified UAE review of platform classification, legal sufficiency, and any additional age-assurance controls before production registration.</w:t>
            </w:r>
          </w:p>
        </w:tc>
        <w:tc>
          <w:tcPr>
            <w:tcW w:type="dxa" w:w="2376"/>
          </w:tcPr>
          <w:p>
            <w:r>
              <w:t>Product owner; qualified UAE counsel/privacy reviewer</w:t>
            </w:r>
          </w:p>
        </w:tc>
        <w:tc>
          <w:tcPr>
            <w:tcW w:type="dxa" w:w="2232"/>
          </w:tcPr>
          <w:p>
            <w:r>
              <w:t>Interim self-declaration selected; UAE review and any additional controls required before production registration.</w:t>
            </w:r>
          </w:p>
        </w:tc>
      </w:tr>
      <w:tr>
        <w:tc>
          <w:tcPr>
            <w:tcW w:type="dxa" w:w="1037"/>
          </w:tcPr>
          <w:p>
            <w:r>
              <w:t>CP1-03</w:t>
            </w:r>
          </w:p>
        </w:tc>
        <w:tc>
          <w:tcPr>
            <w:tcW w:type="dxa" w:w="4392"/>
          </w:tcPr>
          <w:p>
            <w:r>
              <w:t>Record no student-status verification for general access in the MVP. Any later optional student label or restricted student community requires a separate review.</w:t>
            </w:r>
          </w:p>
        </w:tc>
        <w:tc>
          <w:tcPr>
            <w:tcW w:type="dxa" w:w="2376"/>
          </w:tcPr>
          <w:p>
            <w:r>
              <w:t>Product owner; engineering lead; privacy reviewer</w:t>
            </w:r>
          </w:p>
        </w:tc>
        <w:tc>
          <w:tcPr>
            <w:tcW w:type="dxa" w:w="2232"/>
          </w:tcPr>
          <w:p>
            <w:r>
              <w:t>Resolved for MVP; optional future feature only.</w:t>
            </w:r>
          </w:p>
        </w:tc>
      </w:tr>
      <w:tr>
        <w:tc>
          <w:tcPr>
            <w:tcW w:type="dxa" w:w="1037"/>
          </w:tcPr>
          <w:p>
            <w:r>
              <w:t>CP1-04</w:t>
            </w:r>
          </w:p>
        </w:tc>
        <w:tc>
          <w:tcPr>
            <w:tcW w:type="dxa" w:w="4392"/>
          </w:tcPr>
          <w:p>
            <w:r>
              <w:t>Validate the Academic City boundary and public venues. Run a four-week invited pilot capped at 20 adults: invite up to 10 first, then up to 10 more after the first-week review if moderation and safety reports remain manageable.</w:t>
            </w:r>
          </w:p>
        </w:tc>
        <w:tc>
          <w:tcPr>
            <w:tcW w:type="dxa" w:w="2376"/>
          </w:tcPr>
          <w:p>
            <w:r>
              <w:t>Product owner; moderator</w:t>
            </w:r>
          </w:p>
        </w:tc>
        <w:tc>
          <w:tcPr>
            <w:tcW w:type="dxa" w:w="2232"/>
          </w:tcPr>
          <w:p>
            <w:r>
              <w:t>Pilot cap selected; venue and boundary validation open before invitations.</w:t>
            </w:r>
          </w:p>
        </w:tc>
      </w:tr>
      <w:tr>
        <w:tc>
          <w:tcPr>
            <w:tcW w:type="dxa" w:w="1037"/>
          </w:tcPr>
          <w:p>
            <w:r>
              <w:t>CP1-05</w:t>
            </w:r>
          </w:p>
        </w:tc>
        <w:tc>
          <w:tcPr>
            <w:tcW w:type="dxa" w:w="4392"/>
          </w:tcPr>
          <w:p>
            <w:r>
              <w:t>Prepare a reviewed list of publicly accessible meetup places for the initial pilot, including hours, accessibility, suitability, and exclusions. No user-preferred venues were specified; exclude restricted/institution-controlled locations.</w:t>
            </w:r>
          </w:p>
        </w:tc>
        <w:tc>
          <w:tcPr>
            <w:tcW w:type="dxa" w:w="2376"/>
          </w:tcPr>
          <w:p>
            <w:r>
              <w:t>Product owner; moderator; local advisor if useful</w:t>
            </w:r>
          </w:p>
        </w:tc>
        <w:tc>
          <w:tcPr>
            <w:tcW w:type="dxa" w:w="2232"/>
          </w:tcPr>
          <w:p>
            <w:r>
              <w:t>Draft venue inventory and review open before map content is published.</w:t>
            </w:r>
          </w:p>
        </w:tc>
      </w:tr>
      <w:tr>
        <w:tc>
          <w:tcPr>
            <w:tcW w:type="dxa" w:w="1037"/>
          </w:tcPr>
          <w:p>
            <w:r>
              <w:t>CP1-06</w:t>
            </w:r>
          </w:p>
        </w:tc>
        <w:tc>
          <w:tcPr>
            <w:tcW w:type="dxa" w:w="4392"/>
          </w:tcPr>
          <w:p>
            <w:r>
              <w:t>Initial allowlist: Activities—co-study/accountability sessions, language practice, board/card games, casual public-area walks, and non-contact recreational sports at public facilities. Bounded Favors—directions or help locating public services within Academic City; brief explanation of general study concepts; and proofreading short, non-sensitive, non-assessed text. Do not allow completing assessed work, transport, money handling, valuables, credentials, medical/emergency help, heavy or hazardous tasks, controlled goods, home/private visits, or other prohibited requests.</w:t>
            </w:r>
          </w:p>
        </w:tc>
        <w:tc>
          <w:tcPr>
            <w:tcW w:type="dxa" w:w="2376"/>
          </w:tcPr>
          <w:p>
            <w:r>
              <w:t>Product owner; moderator</w:t>
            </w:r>
          </w:p>
        </w:tc>
        <w:tc>
          <w:tcPr>
            <w:tcW w:type="dxa" w:w="2232"/>
          </w:tcPr>
          <w:p>
            <w:r>
              <w:t>Safe initial allowlist drafted; review/escalation guidance open before pilot content is seeded.</w:t>
            </w:r>
          </w:p>
        </w:tc>
      </w:tr>
      <w:tr>
        <w:tc>
          <w:tcPr>
            <w:tcW w:type="dxa" w:w="1037"/>
          </w:tcPr>
          <w:p>
            <w:r>
              <w:t>CP1-07</w:t>
            </w:r>
          </w:p>
        </w:tc>
        <w:tc>
          <w:tcPr>
            <w:tcW w:type="dxa" w:w="4392"/>
          </w:tcPr>
          <w:p>
            <w:r>
              <w:t>The product owner is the initial primary moderator and will respond when available. Name a backup; define coverage, severity tiers, response targets, escalation, appeals, and pause criteria. The role may be reassigned later.</w:t>
            </w:r>
          </w:p>
        </w:tc>
        <w:tc>
          <w:tcPr>
            <w:tcW w:type="dxa" w:w="2376"/>
          </w:tcPr>
          <w:p>
            <w:r>
              <w:t>Primary assigned; backup to name and coverage to define; pilot launch blocker.</w:t>
            </w:r>
          </w:p>
        </w:tc>
        <w:tc>
          <w:tcPr>
            <w:tcW w:type="dxa" w:w="2232"/>
          </w:tcPr>
          <w:p>
            <w:r>
              <w:t>Backup and coverage remain open; pilot launch blocker.</w:t>
            </w:r>
          </w:p>
        </w:tc>
      </w:tr>
      <w:tr>
        <w:tc>
          <w:tcPr>
            <w:tcW w:type="dxa" w:w="1037"/>
          </w:tcPr>
          <w:p>
            <w:r>
              <w:t>CP1-08</w:t>
            </w:r>
          </w:p>
        </w:tc>
        <w:tc>
          <w:tcPr>
            <w:tcW w:type="dxa" w:w="4392"/>
          </w:tcPr>
          <w:p>
            <w:r>
              <w:t>Approve data inventory, processors, hosting/transfer locations, retention/deletion/export, legal holds, and privacy notices.</w:t>
            </w:r>
          </w:p>
        </w:tc>
        <w:tc>
          <w:tcPr>
            <w:tcW w:type="dxa" w:w="2376"/>
          </w:tcPr>
          <w:p>
            <w:r>
              <w:t>Product owner; qualified privacy/legal reviewer; engineering lead</w:t>
            </w:r>
          </w:p>
        </w:tc>
        <w:tc>
          <w:tcPr>
            <w:tcW w:type="dxa" w:w="2232"/>
          </w:tcPr>
          <w:p>
            <w:r>
              <w:t>Open; before real student data.</w:t>
            </w:r>
          </w:p>
        </w:tc>
      </w:tr>
      <w:tr>
        <w:tc>
          <w:tcPr>
            <w:tcW w:type="dxa" w:w="1037"/>
          </w:tcPr>
          <w:p>
            <w:r>
              <w:t>CP1-09</w:t>
            </w:r>
          </w:p>
        </w:tc>
        <w:tc>
          <w:tcPr>
            <w:tcW w:type="dxa" w:w="4392"/>
          </w:tcPr>
          <w:p>
            <w:r>
              <w:t>Keep restricted or institution-controlled venues out of the initial pilot. Any later proposal to add one requires documented permission and a separate access/safety review.</w:t>
            </w:r>
          </w:p>
        </w:tc>
        <w:tc>
          <w:tcPr>
            <w:tcW w:type="dxa" w:w="2376"/>
          </w:tcPr>
          <w:p>
            <w:r>
              <w:t>Product owner; relevant resource owner</w:t>
            </w:r>
          </w:p>
        </w:tc>
        <w:tc>
          <w:tcPr>
            <w:tcW w:type="dxa" w:w="2232"/>
          </w:tcPr>
          <w:p>
            <w:r>
              <w:t>Conditional; only if used.</w:t>
            </w:r>
          </w:p>
        </w:tc>
      </w:tr>
      <w:tr>
        <w:tc>
          <w:tcPr>
            <w:tcW w:type="dxa" w:w="2498"/>
          </w:tcPr>
          <w:p>
            <w:r>
              <w:t>CP1-10</w:t>
            </w:r>
          </w:p>
        </w:tc>
        <w:tc>
          <w:tcPr>
            <w:tcW w:type="dxa" w:w="2498"/>
          </w:tcPr>
          <w:p>
            <w:r>
              <w:t>Use Supabase Auth Free initially for Google sign-in and email/password, subject to its current quotas. Require email confirmation for password accounts; configure production SMTP, recovery, linking, duplicate-account handling, and 18+ self-declaration.</w:t>
            </w:r>
          </w:p>
        </w:tc>
        <w:tc>
          <w:tcPr>
            <w:tcW w:type="dxa" w:w="2498"/>
          </w:tcPr>
          <w:p>
            <w:r>
              <w:t>Product owner; engineering lead; privacy reviewer</w:t>
            </w:r>
          </w:p>
        </w:tc>
        <w:tc>
          <w:tcPr>
            <w:tcW w:type="dxa" w:w="2498"/>
          </w:tcPr>
          <w:p>
            <w:r>
              <w:t>Provider selected for initial use; SMTP and lifecycle/abuse controls open before production.</w:t>
            </w:r>
          </w:p>
        </w:tc>
      </w:tr>
      <w:tr>
        <w:tc>
          <w:tcPr>
            <w:tcW w:type="dxa" w:w="2498"/>
          </w:tcPr>
          <w:p>
            <w:r>
              <w:t>CP1-10</w:t>
            </w:r>
          </w:p>
        </w:tc>
        <w:tc>
          <w:tcPr>
            <w:tcW w:type="dxa" w:w="2498"/>
          </w:tcPr>
          <w:p>
            <w:r>
              <w:t>Configure Google sign-in and email/password authentication; define confirmation, recovery, linking, duplicate-account handling, controls to enforce the 18+ rule, rate limits, and abuse response.</w:t>
            </w:r>
          </w:p>
        </w:tc>
        <w:tc>
          <w:tcPr>
            <w:tcW w:type="dxa" w:w="2498"/>
          </w:tcPr>
          <w:p>
            <w:r>
              <w:t>Product owner; engineering lead; privacy reviewer</w:t>
            </w:r>
          </w:p>
        </w:tc>
        <w:tc>
          <w:tcPr>
            <w:tcW w:type="dxa" w:w="2498"/>
          </w:tcPr>
          <w:p>
            <w:r>
              <w:t>Methods selected; service/lifecycle controls open before identity build.</w:t>
            </w:r>
          </w:p>
        </w:tc>
      </w:tr>
    </w:tbl>
    <w:p/>
    <w:p>
      <w:pPr>
        <w:pStyle w:val="Heading1"/>
      </w:pPr>
      <w:r>
        <w:t>Required pilot operating rules</w:t>
      </w:r>
    </w:p>
    <w:p>
      <w:pPr>
        <w:pStyle w:val="ListBullet"/>
      </w:pPr>
      <w:r>
        <w:t>Invite account holders aged 18 or older in Dubai Academic City who meet the approved account rules. Recruit through student groups as an optional channel, include students from multiple institutions as a core audience, and do not require enrollment proof. Run a four-week invited pilot capped at 20 adult accounts: invite up to 10 initially and up to 10 more after the first-week review if moderation and safety reports remain manageable.</w:t>
      </w:r>
    </w:p>
    <w:p>
      <w:pPr>
        <w:pStyle w:val="ListBullet"/>
      </w:pPr>
      <w:r>
        <w:t>Use opt-in activities and low-risk bounded favors only at reviewed, publicly accessible meetup places during the initial pilot. Explain cost, accessibility, duration, capacity, and expectations before a student requests to join.</w:t>
      </w:r>
    </w:p>
    <w:p>
      <w:pPr>
        <w:pStyle w:val="ListBullet"/>
      </w:pPr>
      <w:r>
        <w:t>Make reporting and blocking accessible from profile, quest, chat, and evidence contexts. Do not promise emergency response; explain that Side Quest is not an emergency service.</w:t>
      </w:r>
    </w:p>
    <w:p>
      <w:pPr>
        <w:pStyle w:val="ListBullet"/>
      </w:pPr>
      <w:r>
        <w:t>Use a severity-based report queue and define an urgent escalation path. Pause new postings if there is no moderator coverage or a material safety/privacy incident is unresolved.</w:t>
      </w:r>
    </w:p>
    <w:p>
      <w:pPr>
        <w:pStyle w:val="ListBullet"/>
      </w:pPr>
      <w:r>
        <w:t>Keep device location optional; support manual area selection. Use approximate public quest pins, not user live-location displays or trails.</w:t>
      </w:r>
    </w:p>
    <w:p>
      <w:pPr>
        <w:pStyle w:val="ListBullet"/>
      </w:pPr>
      <w:r>
        <w:t>Keep account authentication and recovery details private; do not collect enrollment evidence for general access. Keep completion evidence private by default and strip embedded location metadata from uploads where feasible.</w:t>
      </w:r>
    </w:p>
    <w:p>
      <w:pPr>
        <w:pStyle w:val="ListBullet"/>
      </w:pPr>
      <w:r>
        <w:t>Review safety volume, response times, technical incidents, completion funnel, fairness, and student feedback at least weekly during the four-week pilot.</w:t>
      </w:r>
    </w:p>
    <w:p>
      <w:pPr>
        <w:pStyle w:val="Heading1"/>
      </w:pPr>
      <w:r>
        <w:t>CP1 exit gate assessment</w:t>
      </w:r>
    </w:p>
    <w:p>
      <w:pPr/>
      <w:r>
        <w:t>Checkpoint 1 is not passed. The open-access baseline, 18+ rule, and sign-in choices are recorded. Self-declaration is the interim sign-up approach, but its legal sufficiency and any additional age-assurance requirements remain unreviewed. The exact area boundary, venue list, account-integrity controls, moderation coverage, and qualified privacy/legal review also remain incomplete. Accept CP1 only after these decisions and evidence are documented. Student-status verification is not a launch gate for general access.</w:t>
      </w:r>
    </w:p>
    <w:p>
      <w:pPr>
        <w:pStyle w:val="Heading1"/>
      </w:pPr>
      <w:r>
        <w:t>Sources reviewed</w:t>
      </w:r>
    </w:p>
    <w:p>
      <w:pPr/>
      <w:r>
        <w:t>Project documents: Side Quest Software Requirements Document; Side Quest Website Product and Technical Plan; Side Quest Database Design Document; SideQuest UI/UX Design Specification; prototype README; Checkpoint 0 Mobilization Record; Side Quest Project Checkpoint Plan.</w:t>
      </w:r>
    </w:p>
    <w:p>
      <w:pPr/>
      <w:r>
        <w:t>UAE Government, Data protection laws, official portal summary of the UAE Personal Data Protection Law and cross-border transfer requirements: https://u.ae/en/about-the-uae/digital-uae/data/data-protection-laws.</w:t>
      </w:r>
    </w:p>
    <w:p>
      <w:pPr/>
      <w:r>
        <w:t>UAE Government, Children’s digital safety, age-based platform guidance and current related legislation: https://u.ae/en/information-and-services/social-affairs/children/Childrens-digital-safety.</w:t>
      </w:r>
    </w:p>
    <w:p>
      <w:pPr/>
      <w:r>
        <w:t>UAE Government, Federal Decree by Law No. 26 of 2025 Regarding Child Digital Safety, official legislative text: https://uaelegislation.gov.ae/en/legislations/3912.</w:t>
      </w:r>
    </w:p>
    <w:p>
      <w:pPr/>
      <w:r>
        <w:t>UAE Government, Cabinet Resolution No. 106 of 2026 Regarding the Regulation of Children’s Access to Social Media Platforms: https://uaelegislation.gov.ae/en/legislations/4506.</w:t>
      </w:r>
    </w:p>
    <w:p>
      <w:pPr/>
      <w:r>
        <w:t>Public-source review date: 25 September 2026. Legal applicability, amendments/implementing rules, and any emirate or free-zone requirements must be confirmed by qualified reviewers before launch.</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Project planning document  •  Version 1.1  •  25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36273"/>
        <w:sz w:val="16"/>
      </w:rPr>
      <w:t>SIDE QUEST  /  DELIVERY CHECKPOINTS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424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4243A"/>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F45D4F"/>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4243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424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Side Quest Project Checkpoint Plan</dc:title>
  <dc:subject>Phased delivery roadmap and release gates for the Side Quest campus pilot | Independent student platform across institutions</dc:subject>
  <dc:creator>Side Quest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