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36491"/>
          <w:sz w:val="18"/>
        </w:rPr>
        <w:t>SIDE QUEST  /  CHECKPOINT 2</w:t>
      </w:r>
    </w:p>
    <w:p>
      <w:pPr>
        <w:pStyle w:val="Title"/>
      </w:pPr>
      <w:r>
        <w:t>Product Build Baseline and Validation Plan</w:t>
      </w:r>
    </w:p>
    <w:p>
      <w:pPr>
        <w:pStyle w:val="Subtitle"/>
      </w:pPr>
      <w:r>
        <w:t>Design baseline and evidence required before the experience is build-ready</w:t>
      </w:r>
    </w:p>
    <w:p>
      <w:pPr>
        <w:spacing w:before="160"/>
      </w:pPr>
      <w:r>
        <w:t>Record date  25 September 2026</w:t>
      </w:r>
    </w:p>
    <w:p>
      <w:r>
        <w:t>Status  Build baseline accepted — implementation proceeds through the frontend/backend checkpoints. External testing is scheduled after full-site integration at Checkpoint 8.</w:t>
      </w:r>
    </w:p>
    <w:p>
      <w:pPr>
        <w:pStyle w:val="Heading1"/>
      </w:pPr>
      <w:r>
        <w:t>Purpose and conclusion</w:t>
      </w:r>
    </w:p>
    <w:p>
      <w:r>
        <w:t>CP2 defines the full website build baseline from the accepted product requirements, design specification, and technical plan. Product, interaction, safety, privacy, and points decisions are recorded. Build the complete frontend and backend before conducting external usability sessions. Use synthetic data in development and staging while CP1 release decisions remain open. Test the integrated site with people at Checkpoint 8, apply accepted changes, and complete those fixes before pilot readiness.</w:t>
      </w:r>
    </w:p>
    <w:p>
      <w:pPr>
        <w:pStyle w:val="Heading1"/>
      </w:pPr>
      <w:r>
        <w:t>Accepted design decisions</w:t>
      </w:r>
    </w:p>
    <w:tbl>
      <w:tblPr>
        <w:tblStyle w:val="TableGrid"/>
        <w:tblW w:type="auto" w:w="0"/>
        <w:jc w:val="center"/>
        <w:tblLayout w:type="fixed"/>
        <w:tblLook w:firstColumn="1" w:firstRow="1" w:lastColumn="0" w:lastRow="0" w:noHBand="0" w:noVBand="1" w:val="04A0"/>
      </w:tblPr>
      <w:tblGrid>
        <w:gridCol w:w="2232"/>
        <w:gridCol w:w="8208"/>
      </w:tblGrid>
      <w:tr>
        <w:tc>
          <w:tcPr>
            <w:tcW w:type="dxa" w:w="4968"/>
            <w:vAlign w:val="center"/>
            <w:shd w:fill="174A73"/>
          </w:tcPr>
          <w:p>
            <w:pPr>
              <w:spacing w:after="60"/>
            </w:pPr>
            <w:r>
              <w:rPr>
                <w:rFonts w:ascii="Aptos" w:hAnsi="Aptos"/>
                <w:b/>
                <w:color w:val="FFFFFF"/>
                <w:sz w:val="19"/>
              </w:rPr>
              <w:t>Area</w:t>
            </w:r>
          </w:p>
        </w:tc>
        <w:tc>
          <w:tcPr>
            <w:tcW w:type="dxa" w:w="4968"/>
            <w:vAlign w:val="center"/>
            <w:shd w:fill="174A73"/>
          </w:tcPr>
          <w:p>
            <w:pPr>
              <w:spacing w:after="60"/>
            </w:pPr>
            <w:r>
              <w:rPr>
                <w:rFonts w:ascii="Aptos" w:hAnsi="Aptos"/>
                <w:b/>
                <w:color w:val="FFFFFF"/>
                <w:sz w:val="19"/>
              </w:rPr>
              <w:t>Accepted baseline</w:t>
            </w:r>
          </w:p>
        </w:tc>
      </w:tr>
      <w:tr>
        <w:tc>
          <w:tcPr>
            <w:tcW w:type="dxa" w:w="2232"/>
            <w:vAlign w:val="center"/>
          </w:tcPr>
          <w:p>
            <w:pPr>
              <w:spacing w:after="60"/>
            </w:pPr>
            <w:r>
              <w:rPr>
                <w:rFonts w:ascii="Aptos" w:hAnsi="Aptos"/>
                <w:sz w:val="19"/>
              </w:rPr>
              <w:t>Participation and chat</w:t>
            </w:r>
          </w:p>
        </w:tc>
        <w:tc>
          <w:tcPr>
            <w:tcW w:type="dxa" w:w="8208"/>
            <w:vAlign w:val="center"/>
          </w:tcPr>
          <w:p>
            <w:pPr>
              <w:spacing w:after="60"/>
            </w:pPr>
            <w:r>
              <w:rPr>
                <w:rFonts w:ascii="Aptos" w:hAnsi="Aptos"/>
                <w:sz w:val="19"/>
              </w:rPr>
              <w:t>A host must approve every join request. Pending requesters cannot enter chat. Chat and private meeting instructions become available only to the host and accepted participants.</w:t>
            </w:r>
          </w:p>
        </w:tc>
      </w:tr>
      <w:tr>
        <w:tc>
          <w:tcPr>
            <w:tcW w:type="dxa" w:w="2232"/>
            <w:vAlign w:val="center"/>
            <w:shd w:fill="F2F6FA"/>
          </w:tcPr>
          <w:p>
            <w:pPr>
              <w:spacing w:after="60"/>
            </w:pPr>
            <w:r>
              <w:rPr>
                <w:rFonts w:ascii="Aptos" w:hAnsi="Aptos"/>
                <w:sz w:val="19"/>
              </w:rPr>
              <w:t>Discovery filters</w:t>
            </w:r>
          </w:p>
        </w:tc>
        <w:tc>
          <w:tcPr>
            <w:tcW w:type="dxa" w:w="8208"/>
            <w:vAlign w:val="center"/>
            <w:shd w:fill="F2F6FA"/>
          </w:tcPr>
          <w:p>
            <w:pPr>
              <w:spacing w:after="60"/>
            </w:pPr>
            <w:r>
              <w:rPr>
                <w:rFonts w:ascii="Aptos" w:hAnsi="Aptos"/>
                <w:sz w:val="19"/>
              </w:rPr>
              <w:t>Users can combine multiple categories with available refinements such as time, distance, or group size. Show active filters and offer a clear reset. Category chips remain a quick single-category route.</w:t>
            </w:r>
          </w:p>
        </w:tc>
      </w:tr>
      <w:tr>
        <w:tc>
          <w:tcPr>
            <w:tcW w:type="dxa" w:w="2232"/>
            <w:vAlign w:val="center"/>
          </w:tcPr>
          <w:p>
            <w:pPr>
              <w:spacing w:after="60"/>
            </w:pPr>
            <w:r>
              <w:rPr>
                <w:rFonts w:ascii="Aptos" w:hAnsi="Aptos"/>
                <w:sz w:val="19"/>
              </w:rPr>
              <w:t>Map and location</w:t>
            </w:r>
          </w:p>
        </w:tc>
        <w:tc>
          <w:tcPr>
            <w:tcW w:type="dxa" w:w="8208"/>
            <w:vAlign w:val="center"/>
          </w:tcPr>
          <w:p>
            <w:pPr>
              <w:spacing w:after="60"/>
            </w:pPr>
            <w:r>
              <w:rPr>
                <w:rFonts w:ascii="Aptos" w:hAnsi="Aptos"/>
                <w:sz w:val="19"/>
              </w:rPr>
              <w:t>Use Mapbox first. Switch to Google Maps if coverage or usability is inadequate across Dubai Academic City. Device location is optional and requested only after the user invokes a location feature; manual browsing must work without location permission.</w:t>
            </w:r>
          </w:p>
        </w:tc>
      </w:tr>
      <w:tr>
        <w:tc>
          <w:tcPr>
            <w:tcW w:type="dxa" w:w="2232"/>
            <w:vAlign w:val="center"/>
            <w:shd w:fill="F2F6FA"/>
          </w:tcPr>
          <w:p>
            <w:pPr>
              <w:spacing w:after="60"/>
            </w:pPr>
            <w:r>
              <w:rPr>
                <w:rFonts w:ascii="Aptos" w:hAnsi="Aptos"/>
                <w:sz w:val="19"/>
              </w:rPr>
              <w:t>Theme</w:t>
            </w:r>
          </w:p>
        </w:tc>
        <w:tc>
          <w:tcPr>
            <w:tcW w:type="dxa" w:w="8208"/>
            <w:vAlign w:val="center"/>
            <w:shd w:fill="F2F6FA"/>
          </w:tcPr>
          <w:p>
            <w:pPr>
              <w:spacing w:after="60"/>
            </w:pPr>
            <w:r>
              <w:rPr>
                <w:rFonts w:ascii="Aptos" w:hAnsi="Aptos"/>
                <w:sz w:val="19"/>
              </w:rPr>
              <w:t>Follow device appearance by default. Users can set a manual theme, and the choice persists across sessions. Whether it syncs across devices is a technical design detail still to confirm.</w:t>
            </w:r>
          </w:p>
        </w:tc>
      </w:tr>
      <w:tr>
        <w:tc>
          <w:tcPr>
            <w:tcW w:type="dxa" w:w="2232"/>
            <w:vAlign w:val="center"/>
          </w:tcPr>
          <w:p>
            <w:pPr>
              <w:spacing w:after="60"/>
            </w:pPr>
            <w:r>
              <w:rPr>
                <w:rFonts w:ascii="Aptos" w:hAnsi="Aptos"/>
                <w:sz w:val="19"/>
              </w:rPr>
              <w:t>Completed quests</w:t>
            </w:r>
          </w:p>
        </w:tc>
        <w:tc>
          <w:tcPr>
            <w:tcW w:type="dxa" w:w="8208"/>
            <w:vAlign w:val="center"/>
          </w:tcPr>
          <w:p>
            <w:pPr>
              <w:spacing w:after="60"/>
            </w:pPr>
            <w:r>
              <w:rPr>
                <w:rFonts w:ascii="Aptos" w:hAnsi="Aptos"/>
                <w:sz w:val="19"/>
              </w:rPr>
              <w:t>Keep completed quest chats read-only and provide a route to recap/history. The host may choose to share a recap, subject to required participant consent. Proof remains private unless sharing rules and consent allow release.</w:t>
            </w:r>
          </w:p>
        </w:tc>
      </w:tr>
      <w:tr>
        <w:tc>
          <w:tcPr>
            <w:tcW w:type="dxa" w:w="2232"/>
            <w:vAlign w:val="center"/>
            <w:shd w:fill="F2F6FA"/>
          </w:tcPr>
          <w:p>
            <w:pPr>
              <w:spacing w:after="60"/>
            </w:pPr>
            <w:r>
              <w:rPr>
                <w:rFonts w:ascii="Aptos" w:hAnsi="Aptos"/>
                <w:sz w:val="19"/>
              </w:rPr>
              <w:t>Saved quests</w:t>
            </w:r>
          </w:p>
        </w:tc>
        <w:tc>
          <w:tcPr>
            <w:tcW w:type="dxa" w:w="8208"/>
            <w:vAlign w:val="center"/>
            <w:shd w:fill="F2F6FA"/>
          </w:tcPr>
          <w:p>
            <w:pPr>
              <w:spacing w:after="60"/>
            </w:pPr>
            <w:r>
              <w:rPr>
                <w:rFonts w:ascii="Aptos" w:hAnsi="Aptos"/>
                <w:sz w:val="19"/>
              </w:rPr>
              <w:t>Keep bookmarked quests in the saved list and label them open, filled, closed, or expired. Disable joining when the quest is no longer open.</w:t>
            </w:r>
          </w:p>
        </w:tc>
      </w:tr>
      <w:tr>
        <w:tc>
          <w:tcPr>
            <w:tcW w:type="dxa" w:w="2232"/>
          </w:tcPr>
          <w:p>
            <w:r>
              <w:t>Points and leaderboard</w:t>
            </w:r>
          </w:p>
        </w:tc>
        <w:tc>
          <w:tcPr>
            <w:tcW w:type="dxa" w:w="8208"/>
          </w:tcPr>
          <w:p>
            <w:r>
              <w:t>Four-week seasons; activity participant 10 points, host bonus 5; bounded favor 5 or 10 by preselected effort; daily cap 20; no posting, request, or peer-gift points. Disputed awards are held; moderator adjustments require a reason. The seasonal top 10 is opt-in and uses display names; private history remains available.</w:t>
            </w:r>
          </w:p>
        </w:tc>
      </w:tr>
    </w:tbl>
    <w:p>
      <w:pPr>
        <w:pStyle w:val="Heading1"/>
      </w:pPr>
      <w:r>
        <w:t>Points and leaderboard decisions</w:t>
      </w:r>
    </w:p>
    <w:p>
      <w:r>
        <w:t>Accepted baseline  Use four-week seasons. Award 10 points to each eligible participant for a completed activity, with a 5-point host bonus. Award 5 or 10 points for a completed bounded favor based on its effort level, selected before posting. Cap each account at 20 points per Dubai local day. Do not award points for posting, requesting to join, or peer thank-you gifts. Hold points while a completion is disputed; record a reason for every moderator adjustment. Show only the top 10 for a season, use opted-in display names, and let users opt out at any time. Preserve private point history across seasons.</w:t>
      </w:r>
    </w:p>
    <w:p>
      <w:pPr>
        <w:pStyle w:val="Heading1"/>
      </w:pPr>
      <w:r>
        <w:t>Full-site validation scheduled for Checkpoint 8</w:t>
      </w:r>
    </w:p>
    <w:p>
      <w:pPr>
        <w:pStyle w:val="ListBullet"/>
      </w:pPr>
      <w:r>
        <w:t>After the complete website is integrated at Checkpoint 7, run five one-to-one moderated sessions with adult students from at least two institutions. Use a non-production environment, synthetic users and quests, and a consented, data-minimized feedback process. Cover discovery, filters, details, request/approval, chat, posting, completion, saved quests, profile/privacy, report/block, and accessibility controls. Record task outcomes, friction, decisions, and accepted fixes.</w:t>
      </w:r>
    </w:p>
    <w:p>
      <w:pPr>
        <w:pStyle w:val="ListBullet"/>
      </w:pPr>
      <w:r>
        <w:t>Complete a screen and flow inventory mapped to SRD requirements, including loading, empty, error, offline, upload, pending, accepted, completed, closed, and moderation states.</w:t>
      </w:r>
    </w:p>
    <w:p>
      <w:pPr>
        <w:pStyle w:val="ListBullet"/>
      </w:pPr>
      <w:r>
        <w:t>Confirm responsive behavior for narrow mobile and desktop, keyboard navigation and focus, accessible labels, contrast in both themes, reduced motion, and a usable map/list alternative.</w:t>
      </w:r>
    </w:p>
    <w:p>
      <w:pPr>
        <w:pStyle w:val="ListBullet"/>
      </w:pPr>
      <w:r>
        <w:t>Update the clickable prototype or annotate it so interactions that are not implemented are clearly distinguished from validated production behavior.</w:t>
      </w:r>
    </w:p>
    <w:p>
      <w:pPr>
        <w:pStyle w:val="ListBullet"/>
      </w:pPr>
      <w:r>
        <w:t>Product owner and design lead review the resulting evidence and approve the core flows, safety/privacy cues, interaction states, and accessibility acceptance criteria.</w:t>
      </w:r>
    </w:p>
    <w:p>
      <w:pPr>
        <w:pStyle w:val="Heading1"/>
      </w:pPr>
      <w:r>
        <w:t>Dependencies and release boundary</w:t>
      </w:r>
    </w:p>
    <w:p>
      <w:r>
        <w:t>CP2 depends on the independent cross-institution scope from CP0 and initial policy inputs from CP1. CP1 remains in progress: age-assurance and qualified UAE review, exact launch boundary and reviewed public venues, account-integrity controls, privacy review, and backup moderator coverage remain open. CP2 acceptance does not authorize production registration or a real-user pilot.</w:t>
      </w:r>
    </w:p>
    <w:p>
      <w:pPr>
        <w:pStyle w:val="Heading1"/>
      </w:pPr>
      <w:r>
        <w:t>Exit gate</w:t>
      </w:r>
    </w:p>
    <w:p>
      <w:r>
        <w:t>Build-start gate  Product owner accepts the complete website requirements, UX baseline, points rules, frontend screen inventory, backend/API and data inventory, and core authorization rules. After full-site integration, Checkpoint 8 must record five sessions, design changes, accessibility review, and re-checks before pilot readiness. Production and real-user release remain gated by CP1 approvals.</w:t>
      </w:r>
    </w:p>
    <w:p>
      <w:pPr>
        <w:pStyle w:val="Heading1"/>
      </w:pPr>
      <w:r>
        <w:t>Source documents</w:t>
      </w:r>
    </w:p>
    <w:p>
      <w:r>
        <w:t>Side Quest Project Checkpoint Plan; SideQuest UI UX Design Specification; Side Quest Software Requirements Document (FR-009 to FR-066 and NFR-UX); prototype README.</w:t>
      </w:r>
    </w:p>
    <w:sectPr w:rsidR="00FC693F" w:rsidRPr="0006063C" w:rsidSect="00034616">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32D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1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34B6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ptos Display" w:hAnsi="Aptos Display"/>
      <w:b/>
      <w:color w:val="142A4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564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