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p>
    <w:p>
      <w:pPr>
        <w:widowControl/>
      </w:pPr>
    </w:p>
    <w:p>
      <w:pPr>
        <w:widowControl/>
      </w:pPr>
    </w:p>
    <w:p>
      <w:pPr>
        <w:widowControl/>
        <w:spacing w:after="160"/>
      </w:pPr>
      <w:r>
        <w:rPr>
          <w:b/>
          <w:color w:val="167C80"/>
          <w:sz w:val="20"/>
        </w:rPr>
        <w:t>PRODUCT CONCEPT  /  2026</w:t>
      </w:r>
    </w:p>
    <w:p>
      <w:pPr>
        <w:pStyle w:val="Title"/>
      </w:pPr>
      <w:r>
        <w:t>Side Quest</w:t>
      </w:r>
    </w:p>
    <w:p>
      <w:pPr>
        <w:widowControl/>
        <w:spacing w:before="60" w:after="440"/>
      </w:pPr>
      <w:r>
        <w:rPr>
          <w:color w:val="617184"/>
          <w:sz w:val="36"/>
        </w:rPr>
        <w:t>Website Product and Technical Plan</w:t>
      </w:r>
    </w:p>
    <w:tbl>
      <w:tblPr>
        <w:tblW w:type="auto" w:w="0"/>
        <w:jc w:val="center"/>
        <w:tblLook w:firstColumn="1" w:firstRow="1" w:lastColumn="0" w:lastRow="0" w:noHBand="0" w:noVBand="1" w:val="04A0"/>
      </w:tblPr>
      <w:tblGrid>
        <w:gridCol w:w="9994"/>
      </w:tblGrid>
      <w:tr>
        <w:tc>
          <w:tcPr>
            <w:tcW w:type="dxa" w:w="9994"/>
            <w:shd w:fill="E5F3F0"/>
          </w:tcPr>
          <w:p>
            <w:r>
              <w:t>THE IDEA  A student connection platform that turns nearby plans and everyday favors into low-pressure ways to meet people across institutions.</w:t>
            </w:r>
          </w:p>
        </w:tc>
      </w:tr>
    </w:tbl>
    <w:p>
      <w:pPr>
        <w:widowControl/>
        <w:spacing w:after="0"/>
      </w:pPr>
    </w:p>
    <w:p>
      <w:pPr>
        <w:widowControl/>
      </w:pPr>
    </w:p>
    <w:p>
      <w:pPr>
        <w:widowControl/>
      </w:pPr>
      <w:r>
        <w:t>A practical starting blueprint for the product, its first release, and the systems behind it.</w:t>
      </w:r>
    </w:p>
    <w:p>
      <w:pPr>
        <w:widowControl/>
      </w:pPr>
    </w:p>
    <w:tbl>
      <w:tblPr>
        <w:tblStyle w:val="TableGrid"/>
        <w:tblW w:type="auto" w:w="0"/>
        <w:jc w:val="center"/>
        <w:tblLayout w:type="fixed"/>
        <w:tblLook w:firstColumn="1" w:firstRow="1" w:lastColumn="0" w:lastRow="0" w:noHBand="0" w:noVBand="1" w:val="04A0"/>
      </w:tblPr>
      <w:tblGrid>
        <w:gridCol w:w="4997"/>
        <w:gridCol w:w="4997"/>
      </w:tblGrid>
      <w:tr>
        <w:tc>
          <w:tcPr>
            <w:tcW w:type="dxa" w:w="4680"/>
            <w:vAlign w:val="center"/>
            <w:shd w:fill="16263D"/>
          </w:tcPr>
          <w:p>
            <w:r>
              <w:t>PRODUCT PROMISE</w:t>
            </w:r>
          </w:p>
        </w:tc>
        <w:tc>
          <w:tcPr>
            <w:tcW w:type="dxa" w:w="4680"/>
            <w:vAlign w:val="center"/>
            <w:shd w:fill="16263D"/>
          </w:tcPr>
          <w:p>
            <w:r>
              <w:t>FIRST RELEASE FOCUS</w:t>
            </w:r>
          </w:p>
        </w:tc>
      </w:tr>
      <w:tr>
        <w:tc>
          <w:tcPr>
            <w:tcW w:type="dxa" w:w="4680"/>
            <w:vAlign w:val="center"/>
            <w:shd w:fill="F2F5F8"/>
          </w:tcPr>
          <w:p>
            <w:r>
              <w:t>Find a nearby activity or favor, join with intent, and leave with a real connection.</w:t>
            </w:r>
          </w:p>
        </w:tc>
        <w:tc>
          <w:tcPr>
            <w:tcW w:type="dxa" w:w="4680"/>
            <w:vAlign w:val="center"/>
            <w:shd w:fill="F2F5F8"/>
          </w:tcPr>
          <w:p>
            <w:r>
              <w:t>Google/email-password access for eligible account holders, local map and feed discovery, accepted participants, private quest chat, proof-based completion, and fair points.</w:t>
            </w:r>
          </w:p>
        </w:tc>
      </w:tr>
    </w:tbl>
    <w:p>
      <w:pPr>
        <w:widowControl/>
        <w:spacing w:after="0"/>
      </w:pPr>
    </w:p>
    <w:p>
      <w:pPr>
        <w:widowControl/>
      </w:pPr>
    </w:p>
    <w:p>
      <w:pPr>
        <w:widowControl/>
      </w:pPr>
    </w:p>
    <w:p>
      <w:pPr>
        <w:widowControl/>
      </w:pPr>
      <w:r>
        <w:rPr>
          <w:b/>
        </w:rPr>
        <w:t>Prepared</w:t>
      </w:r>
      <w:r>
        <w:t xml:space="preserve"> as a concept plan</w:t>
      </w:r>
    </w:p>
    <w:p>
      <w:pPr>
        <w:widowControl/>
      </w:pPr>
      <w:r>
        <w:br w:type="page"/>
      </w:r>
    </w:p>
    <w:p>
      <w:pPr/>
      <w:r>
        <w:rPr>
          <w:b/>
          <w:color w:val="F45D4F"/>
        </w:rPr>
        <w:t>PRODUCT DIRECTION UPDATE  Side Quest is an independently operated, student-centered local connection platform open to any account holder who meets the 18+ age, account-integrity, and safety rules. Students across institutions are a core audience, but student status, university acceptance, sponsorship, or integration is not required for general access. Campuses, student organizations, and other groups may be optional communities or meetup contexts. Dubai Academic City is the selected first operating area. Permission is needed only for specific restricted venues, institutional branding, official channels, or integrations if used. Privacy, safety, moderation, and applicable legal review remain required.</w:t>
      </w:r>
      <w:r/>
    </w:p>
    <w:p>
      <w:pPr>
        <w:pStyle w:val="Heading1"/>
        <w:keepNext/>
      </w:pPr>
      <w:r>
        <w:t>1. Executive summary</w:t>
      </w:r>
    </w:p>
    <w:p>
      <w:pPr>
        <w:widowControl/>
      </w:pPr>
      <w:r>
        <w:t>Side Quest is an independent, student-centered platform open to any eligible account holder. Students across institutions are a core audience. People create nearby activities or bounded favors; other account holders may request to join; the poster chooses who to accept; accepted participants coordinate in a private quest room.</w:t>
      </w:r>
    </w:p>
    <w:p>
      <w:pPr>
        <w:widowControl/>
      </w:pPr>
      <w:r>
        <w:t>The product should feel like a local noticeboard for student life, open to any eligible account holder, with a map and lightweight social feed.</w:t>
      </w:r>
    </w:p>
    <w:tbl>
      <w:tblPr>
        <w:tblW w:type="auto" w:w="0"/>
        <w:jc w:val="center"/>
        <w:tblLook w:firstColumn="1" w:firstRow="1" w:lastColumn="0" w:lastRow="0" w:noHBand="0" w:noVBand="1" w:val="04A0"/>
      </w:tblPr>
      <w:tblGrid>
        <w:gridCol w:w="9994"/>
      </w:tblGrid>
      <w:tr>
        <w:tc>
          <w:tcPr>
            <w:tcW w:type="dxa" w:w="9994"/>
            <w:shd w:fill="E5F3F0"/>
          </w:tcPr>
          <w:p>
            <w:r>
              <w:t>RECOMMENDATION  Launch independently with a small cohort in one geographic area. Prove that students across institutions find relevant quests, feel safe joining, and complete them reliably before expanding to more areas or adding complex social features.</w:t>
            </w:r>
          </w:p>
        </w:tc>
      </w:tr>
    </w:tbl>
    <w:p>
      <w:pPr>
        <w:widowControl/>
        <w:spacing w:after="0"/>
      </w:pPr>
    </w:p>
    <w:p>
      <w:pPr>
        <w:pStyle w:val="Heading2"/>
        <w:keepNext/>
      </w:pPr>
      <w:r>
        <w:t>What makes the concept work</w:t>
      </w:r>
    </w:p>
    <w:p>
      <w:pPr>
        <w:pStyle w:val="ListBullet"/>
        <w:spacing w:after="40"/>
      </w:pPr>
      <w:r>
        <w:t>A visible, location-aware map makes nearby opportunities feel tangible and timely.</w:t>
      </w:r>
    </w:p>
    <w:p>
      <w:pPr>
        <w:pStyle w:val="ListBullet"/>
        <w:spacing w:after="40"/>
      </w:pPr>
      <w:r>
        <w:t>A clear acceptance step gives the person who posted a quest control over who enters the group.</w:t>
      </w:r>
    </w:p>
    <w:p>
      <w:pPr>
        <w:pStyle w:val="ListBullet"/>
        <w:spacing w:after="40"/>
      </w:pPr>
      <w:r>
        <w:t>A dedicated chat keeps coordination attached to the activity and ends when the activity is resolved.</w:t>
      </w:r>
    </w:p>
    <w:p>
      <w:pPr>
        <w:pStyle w:val="ListBullet"/>
        <w:spacing w:after="40"/>
      </w:pPr>
      <w:r>
        <w:t>Completion proof creates accountability and a natural story to share, while points reward contribution.</w:t>
      </w:r>
    </w:p>
    <w:p>
      <w:pPr>
        <w:pStyle w:val="ListBullet"/>
        <w:spacing w:after="40"/>
      </w:pPr>
      <w:r>
        <w:t>Reliable account access, safety controls, reporting, and moderation help people connect around student life. The service is open to eligible account holders; optional communities add context and may restrict only explicitly scoped spaces.</w:t>
      </w:r>
    </w:p>
    <w:p>
      <w:pPr>
        <w:pStyle w:val="Heading2"/>
        <w:keepNext/>
      </w:pPr>
      <w:r>
        <w:t>Product decisions to make early</w:t>
      </w:r>
    </w:p>
    <w:tbl>
      <w:tblPr>
        <w:tblStyle w:val="TableGrid"/>
        <w:tblW w:type="auto" w:w="0"/>
        <w:jc w:val="center"/>
        <w:tblLayout w:type="fixed"/>
        <w:tblLook w:firstColumn="1" w:firstRow="1" w:lastColumn="0" w:lastRow="0" w:noHBand="0" w:noVBand="1" w:val="04A0"/>
      </w:tblPr>
      <w:tblGrid>
        <w:gridCol w:w="4997"/>
        <w:gridCol w:w="4997"/>
      </w:tblGrid>
      <w:tr>
        <w:tc>
          <w:tcPr>
            <w:tcW w:type="dxa" w:w="2232"/>
            <w:vAlign w:val="center"/>
            <w:shd w:fill="16263D"/>
          </w:tcPr>
          <w:p>
            <w:r>
              <w:t>DECISION</w:t>
            </w:r>
          </w:p>
        </w:tc>
        <w:tc>
          <w:tcPr>
            <w:tcW w:type="dxa" w:w="7128"/>
            <w:vAlign w:val="center"/>
            <w:shd w:fill="16263D"/>
          </w:tcPr>
          <w:p>
            <w:r>
              <w:t>RECOMMENDED STARTING POINT</w:t>
            </w:r>
          </w:p>
        </w:tc>
      </w:tr>
      <w:tr>
        <w:tc>
          <w:tcPr>
            <w:tcW w:type="dxa" w:w="2232"/>
            <w:vAlign w:val="center"/>
            <w:shd w:fill="F2F5F8"/>
          </w:tcPr>
          <w:p>
            <w:r>
              <w:t>Who can join?</w:t>
            </w:r>
          </w:p>
        </w:tc>
        <w:tc>
          <w:tcPr>
            <w:tcW w:type="dxa" w:w="7128"/>
            <w:vAlign w:val="center"/>
            <w:shd w:fill="F2F5F8"/>
          </w:tcPr>
          <w:p>
            <w:r>
              <w:t>Adults aged 18 or older with Google sign-in or email/password may join, subject to safety rules. Student status is not required; optional community-restricted quests may require membership.</w:t>
            </w:r>
          </w:p>
        </w:tc>
      </w:tr>
      <w:tr>
        <w:tc>
          <w:tcPr>
            <w:tcW w:type="dxa" w:w="2232"/>
            <w:vAlign w:val="center"/>
          </w:tcPr>
          <w:p>
            <w:r>
              <w:t>Who sees proof?</w:t>
            </w:r>
          </w:p>
        </w:tc>
        <w:tc>
          <w:tcPr>
            <w:tcW w:type="dxa" w:w="7128"/>
            <w:vAlign w:val="center"/>
          </w:tcPr>
          <w:p>
            <w:r>
              <w:t>Participants and moderators by default. The poster can separately choose to share a recap to the local discovery feed or an optional community.</w:t>
            </w:r>
          </w:p>
        </w:tc>
      </w:tr>
      <w:tr>
        <w:tc>
          <w:tcPr>
            <w:tcW w:type="dxa" w:w="2232"/>
            <w:vAlign w:val="center"/>
            <w:shd w:fill="F2F5F8"/>
          </w:tcPr>
          <w:p>
            <w:r>
              <w:t>How do points work?</w:t>
            </w:r>
          </w:p>
        </w:tc>
        <w:tc>
          <w:tcPr>
            <w:tcW w:type="dxa" w:w="7128"/>
            <w:vAlign w:val="center"/>
            <w:shd w:fill="F2F5F8"/>
          </w:tcPr>
          <w:p>
            <w:r>
              <w:t>Reward helpful participation and reliable completion, not popularity, spending, or number of photos.</w:t>
            </w:r>
          </w:p>
        </w:tc>
      </w:tr>
      <w:tr>
        <w:tc>
          <w:tcPr>
            <w:tcW w:type="dxa" w:w="2232"/>
            <w:vAlign w:val="center"/>
          </w:tcPr>
          <w:p>
            <w:r>
              <w:t>What does a task mean?</w:t>
            </w:r>
          </w:p>
        </w:tc>
        <w:tc>
          <w:tcPr>
            <w:tcW w:type="dxa" w:w="7128"/>
            <w:vAlign w:val="center"/>
          </w:tcPr>
          <w:p>
            <w:r>
              <w:t>A small, bounded favor with clear expectations and no high-value, unsafe, or regulated exchanges.</w:t>
            </w:r>
          </w:p>
        </w:tc>
      </w:tr>
    </w:tbl>
    <w:p>
      <w:pPr>
        <w:widowControl/>
        <w:spacing w:after="0"/>
      </w:pPr>
    </w:p>
    <w:p>
      <w:pPr>
        <w:pStyle w:val="Heading1"/>
        <w:keepNext/>
      </w:pPr>
      <w:r>
        <w:t>2. Product vision and principles</w:t>
      </w:r>
    </w:p>
    <w:p>
      <w:pPr>
        <w:widowControl/>
      </w:pPr>
      <w:r>
        <w:t>Vision: make it easier for people to turn ‘I might do this’ into ‘I did this with someone new.’ Side Quest should reduce the social friction of reaching out, without asking people to expose more personal information than the activity requires.</w:t>
      </w:r>
    </w:p>
    <w:p>
      <w:pPr>
        <w:pStyle w:val="Heading2"/>
        <w:keepNext/>
      </w:pPr>
      <w:r>
        <w:t>Core principles</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vAlign w:val="center"/>
            <w:shd w:fill="16263D"/>
          </w:tcPr>
          <w:p>
            <w:r>
              <w:t>PRINCIPLE</w:t>
            </w:r>
          </w:p>
        </w:tc>
        <w:tc>
          <w:tcPr>
            <w:tcW w:type="dxa" w:w="6984"/>
            <w:vAlign w:val="center"/>
            <w:shd w:fill="16263D"/>
          </w:tcPr>
          <w:p>
            <w:r>
              <w:t>WHAT IT MEANS IN THE PRODUCT</w:t>
            </w:r>
          </w:p>
        </w:tc>
      </w:tr>
      <w:tr>
        <w:tc>
          <w:tcPr>
            <w:tcW w:type="dxa" w:w="2376"/>
            <w:vAlign w:val="center"/>
            <w:shd w:fill="F2F5F8"/>
          </w:tcPr>
          <w:p>
            <w:r>
              <w:t>Low pressure</w:t>
            </w:r>
          </w:p>
        </w:tc>
        <w:tc>
          <w:tcPr>
            <w:tcW w:type="dxa" w:w="6984"/>
            <w:vAlign w:val="center"/>
            <w:shd w:fill="F2F5F8"/>
          </w:tcPr>
          <w:p>
            <w:r>
              <w:t>Quests are small, specific, and easy to accept or decline. No public rejection counts.</w:t>
            </w:r>
          </w:p>
        </w:tc>
      </w:tr>
      <w:tr>
        <w:tc>
          <w:tcPr>
            <w:tcW w:type="dxa" w:w="2376"/>
            <w:vAlign w:val="center"/>
          </w:tcPr>
          <w:p>
            <w:r>
              <w:t>Real-world first</w:t>
            </w:r>
          </w:p>
        </w:tc>
        <w:tc>
          <w:tcPr>
            <w:tcW w:type="dxa" w:w="6984"/>
            <w:vAlign w:val="center"/>
          </w:tcPr>
          <w:p>
            <w:r>
              <w:t>The online flow exists to organize a safe, enjoyable in-person activity.</w:t>
            </w:r>
          </w:p>
        </w:tc>
      </w:tr>
      <w:tr>
        <w:tc>
          <w:tcPr>
            <w:tcW w:type="dxa" w:w="2376"/>
            <w:vAlign w:val="center"/>
            <w:shd w:fill="F2F5F8"/>
          </w:tcPr>
          <w:p>
            <w:r>
              <w:t>Control stays with people</w:t>
            </w:r>
          </w:p>
        </w:tc>
        <w:tc>
          <w:tcPr>
            <w:tcW w:type="dxa" w:w="6984"/>
            <w:vAlign w:val="center"/>
            <w:shd w:fill="F2F5F8"/>
          </w:tcPr>
          <w:p>
            <w:r>
              <w:t>Posters choose participants; participants control notification and profile visibility.</w:t>
            </w:r>
          </w:p>
        </w:tc>
      </w:tr>
      <w:tr>
        <w:tc>
          <w:tcPr>
            <w:tcW w:type="dxa" w:w="2376"/>
            <w:vAlign w:val="center"/>
          </w:tcPr>
          <w:p>
            <w:r>
              <w:t>Privacy by default</w:t>
            </w:r>
          </w:p>
        </w:tc>
        <w:tc>
          <w:tcPr>
            <w:tcW w:type="dxa" w:w="6984"/>
            <w:vAlign w:val="center"/>
          </w:tcPr>
          <w:p>
            <w:r>
              <w:t>Use quest locations rather than live user tracking. Keep proof private unless someone opts in to share.</w:t>
            </w:r>
          </w:p>
        </w:tc>
      </w:tr>
      <w:tr>
        <w:tc>
          <w:tcPr>
            <w:tcW w:type="dxa" w:w="2376"/>
            <w:vAlign w:val="center"/>
            <w:shd w:fill="F2F5F8"/>
          </w:tcPr>
          <w:p>
            <w:r>
              <w:t>Trust is earned</w:t>
            </w:r>
          </w:p>
        </w:tc>
        <w:tc>
          <w:tcPr>
            <w:tcW w:type="dxa" w:w="6984"/>
            <w:vAlign w:val="center"/>
            <w:shd w:fill="F2F5F8"/>
          </w:tcPr>
          <w:p>
            <w:r>
              <w:t>Reliable account access, reporting, moderation, clear behavior history, and optional community membership build trust.</w:t>
            </w:r>
          </w:p>
        </w:tc>
      </w:tr>
      <w:tr>
        <w:tc>
          <w:tcPr>
            <w:tcW w:type="dxa" w:w="2376"/>
            <w:vAlign w:val="center"/>
          </w:tcPr>
          <w:p>
            <w:r>
              <w:t>Fair contribution</w:t>
            </w:r>
          </w:p>
        </w:tc>
        <w:tc>
          <w:tcPr>
            <w:tcW w:type="dxa" w:w="6984"/>
            <w:vAlign w:val="center"/>
          </w:tcPr>
          <w:p>
            <w:r>
              <w:t>Points recognize completion and helpfulness, with caps and anti-gaming rules.</w:t>
            </w:r>
          </w:p>
        </w:tc>
      </w:tr>
    </w:tbl>
    <w:p>
      <w:pPr>
        <w:widowControl/>
        <w:spacing w:after="0"/>
      </w:pPr>
    </w:p>
    <w:p>
      <w:pPr>
        <w:pStyle w:val="Heading2"/>
        <w:keepNext/>
      </w:pPr>
      <w:r>
        <w:t>Target users</w:t>
      </w:r>
    </w:p>
    <w:p>
      <w:pPr>
        <w:pStyle w:val="ListBullet"/>
        <w:spacing w:after="40"/>
      </w:pPr>
      <w:r>
        <w:t>New students who want to make friends but find open-ended socializing difficult.</w:t>
      </w:r>
    </w:p>
    <w:p>
      <w:pPr>
        <w:pStyle w:val="ListBullet"/>
        <w:spacing w:after="40"/>
      </w:pPr>
      <w:r>
        <w:t>Students looking for a companion for a specific activity, meal, event, or study break.</w:t>
      </w:r>
    </w:p>
    <w:p>
      <w:pPr>
        <w:pStyle w:val="ListBullet"/>
        <w:spacing w:after="40"/>
      </w:pPr>
      <w:r>
        <w:t>Students who want to meet peers through nearby activities or need/can offer a quick, low-risk favor.</w:t>
      </w:r>
    </w:p>
    <w:p>
      <w:pPr>
        <w:pStyle w:val="ListBullet"/>
        <w:spacing w:after="40"/>
      </w:pPr>
      <w:r>
        <w:t>Student groups, clubs, and campus communities that may host optional, informal activities.</w:t>
      </w:r>
    </w:p>
    <w:p>
      <w:pPr>
        <w:pStyle w:val="Heading2"/>
        <w:keepNext/>
      </w:pPr>
      <w:r>
        <w:t>Positioning</w:t>
      </w:r>
    </w:p>
    <w:p>
      <w:pPr>
        <w:widowControl/>
      </w:pPr>
      <w:r>
        <w:t>Position Side Quest as a platform for students to find things to do together nearby. Keep the interface playful and warm, but treat identity, safety, privacy, and fairness as core product features. The name can support a light adventure theme: quests, party members, streak-free contribution points, and community badges. Avoid making the experience feel like a dating app or a gig-work marketplace.</w:t>
      </w:r>
    </w:p>
    <w:p>
      <w:pPr>
        <w:widowControl/>
      </w:pPr>
      <w:r>
        <w:br w:type="page"/>
      </w:r>
    </w:p>
    <w:p>
      <w:pPr>
        <w:pStyle w:val="Heading1"/>
        <w:keepNext/>
      </w:pPr>
      <w:r>
        <w:t>3. Core experience and user journeys</w:t>
      </w:r>
    </w:p>
    <w:p>
      <w:pPr>
        <w:pStyle w:val="Heading2"/>
        <w:keepNext/>
      </w:pPr>
      <w:r>
        <w:t>Student onboarding across institutions</w:t>
      </w:r>
    </w:p>
    <w:p>
      <w:pPr>
        <w:pStyle w:val="ListNumber"/>
        <w:spacing w:after="60"/>
      </w:pPr>
      <w:r>
        <w:t>The first operating area is Dubai Academic City. Any person may create or access an account with Google sign-in or email/password, only for adults aged 18 or older, subject to account-integrity and safety rules. Student-status verification is not required for general access. Optional communities may restrict their own spaces.</w:t>
      </w:r>
    </w:p>
    <w:p>
      <w:pPr>
        <w:pStyle w:val="ListNumber"/>
        <w:spacing w:after="60"/>
      </w:pPr>
      <w:r>
        <w:t>Set a display name, optional photo, interests, and a short introduction. Show only the profile fields needed to make a joining decision.</w:t>
      </w:r>
    </w:p>
    <w:p>
      <w:pPr>
        <w:pStyle w:val="ListNumber"/>
        <w:spacing w:after="60"/>
      </w:pPr>
      <w:r>
        <w:t>Read a short safety guide and agree to community rules before posting or requesting to join.</w:t>
      </w:r>
    </w:p>
    <w:p>
      <w:pPr>
        <w:pStyle w:val="Heading2"/>
        <w:keepNext/>
      </w:pPr>
      <w:r>
        <w:t>Post a quest</w:t>
      </w:r>
    </w:p>
    <w:tbl>
      <w:tblPr>
        <w:tblStyle w:val="TableGrid"/>
        <w:tblW w:type="auto" w:w="0"/>
        <w:jc w:val="center"/>
        <w:tblLayout w:type="fixed"/>
        <w:tblLook w:firstColumn="1" w:firstRow="1" w:lastColumn="0" w:lastRow="0" w:noHBand="0" w:noVBand="1" w:val="04A0"/>
      </w:tblPr>
      <w:tblGrid>
        <w:gridCol w:w="4997"/>
        <w:gridCol w:w="4997"/>
      </w:tblGrid>
      <w:tr>
        <w:tc>
          <w:tcPr>
            <w:tcW w:type="dxa" w:w="2160"/>
            <w:vAlign w:val="center"/>
            <w:shd w:fill="16263D"/>
          </w:tcPr>
          <w:p>
            <w:r>
              <w:t>FIELD</w:t>
            </w:r>
          </w:p>
        </w:tc>
        <w:tc>
          <w:tcPr>
            <w:tcW w:type="dxa" w:w="7200"/>
            <w:vAlign w:val="center"/>
            <w:shd w:fill="16263D"/>
          </w:tcPr>
          <w:p>
            <w:r>
              <w:t>EXAMPLE / GUIDANCE</w:t>
            </w:r>
          </w:p>
        </w:tc>
      </w:tr>
      <w:tr>
        <w:tc>
          <w:tcPr>
            <w:tcW w:type="dxa" w:w="2160"/>
            <w:vAlign w:val="center"/>
            <w:shd w:fill="F2F5F8"/>
          </w:tcPr>
          <w:p>
            <w:r>
              <w:t>Type</w:t>
            </w:r>
          </w:p>
        </w:tc>
        <w:tc>
          <w:tcPr>
            <w:tcW w:type="dxa" w:w="7200"/>
            <w:vAlign w:val="center"/>
            <w:shd w:fill="F2F5F8"/>
          </w:tcPr>
          <w:p>
            <w:r>
              <w:t>Activity (social plan) or Favor (bounded practical help).</w:t>
            </w:r>
          </w:p>
        </w:tc>
      </w:tr>
      <w:tr>
        <w:tc>
          <w:tcPr>
            <w:tcW w:type="dxa" w:w="2160"/>
            <w:vAlign w:val="center"/>
          </w:tcPr>
          <w:p>
            <w:r>
              <w:t>Title and details</w:t>
            </w:r>
          </w:p>
        </w:tc>
        <w:tc>
          <w:tcPr>
            <w:tcW w:type="dxa" w:w="7200"/>
            <w:vAlign w:val="center"/>
          </w:tcPr>
          <w:p>
            <w:r>
              <w:t>‘Try the new noodle place after class’; state what, why, and any expectations.</w:t>
            </w:r>
          </w:p>
        </w:tc>
      </w:tr>
      <w:tr>
        <w:tc>
          <w:tcPr>
            <w:tcW w:type="dxa" w:w="2160"/>
            <w:vAlign w:val="center"/>
            <w:shd w:fill="F2F5F8"/>
          </w:tcPr>
          <w:p>
            <w:r>
              <w:t>Time and duration</w:t>
            </w:r>
          </w:p>
        </w:tc>
        <w:tc>
          <w:tcPr>
            <w:tcW w:type="dxa" w:w="7200"/>
            <w:vAlign w:val="center"/>
            <w:shd w:fill="F2F5F8"/>
          </w:tcPr>
          <w:p>
            <w:r>
              <w:t>Specific start window, expected length, and expiry time.</w:t>
            </w:r>
          </w:p>
        </w:tc>
      </w:tr>
      <w:tr>
        <w:tc>
          <w:tcPr>
            <w:tcW w:type="dxa" w:w="2160"/>
            <w:vAlign w:val="center"/>
          </w:tcPr>
          <w:p>
            <w:r>
              <w:t>Place</w:t>
            </w:r>
          </w:p>
        </w:tc>
        <w:tc>
          <w:tcPr>
            <w:tcW w:type="dxa" w:w="7200"/>
            <w:vAlign w:val="center"/>
          </w:tcPr>
          <w:p>
            <w:r>
              <w:t>For the initial pilot, choose only a reviewed, publicly accessible meetup place. Exclude restricted and institution-controlled venues. A later phase may add them after documented permission and review. Pin an approximate quest meeting point.</w:t>
            </w:r>
          </w:p>
        </w:tc>
      </w:tr>
      <w:tr>
        <w:tc>
          <w:tcPr>
            <w:tcW w:type="dxa" w:w="2160"/>
            <w:vAlign w:val="center"/>
            <w:shd w:fill="F2F5F8"/>
          </w:tcPr>
          <w:p>
            <w:r>
              <w:t>Group size</w:t>
            </w:r>
          </w:p>
        </w:tc>
        <w:tc>
          <w:tcPr>
            <w:tcW w:type="dxa" w:w="7200"/>
            <w:vAlign w:val="center"/>
            <w:shd w:fill="F2F5F8"/>
          </w:tcPr>
          <w:p>
            <w:r>
              <w:t>Set a small cap, such as one to four participants.</w:t>
            </w:r>
          </w:p>
        </w:tc>
      </w:tr>
      <w:tr>
        <w:tc>
          <w:tcPr>
            <w:tcW w:type="dxa" w:w="2160"/>
            <w:vAlign w:val="center"/>
          </w:tcPr>
          <w:p>
            <w:r>
              <w:t>Access and cost</w:t>
            </w:r>
          </w:p>
        </w:tc>
        <w:tc>
          <w:tcPr>
            <w:tcW w:type="dxa" w:w="7200"/>
            <w:vAlign w:val="center"/>
          </w:tcPr>
          <w:p>
            <w:r>
              <w:t>Say if the activity is free, costs money, or has accessibility constraints. Never imply others must pay.</w:t>
            </w:r>
          </w:p>
        </w:tc>
      </w:tr>
      <w:tr>
        <w:tc>
          <w:tcPr>
            <w:tcW w:type="dxa" w:w="2160"/>
            <w:vAlign w:val="center"/>
            <w:shd w:fill="F2F5F8"/>
          </w:tcPr>
          <w:p>
            <w:r>
              <w:t>Proof preference</w:t>
            </w:r>
          </w:p>
        </w:tc>
        <w:tc>
          <w:tcPr>
            <w:tcW w:type="dxa" w:w="7200"/>
            <w:vAlign w:val="center"/>
            <w:shd w:fill="F2F5F8"/>
          </w:tcPr>
          <w:p>
            <w:r>
              <w:t>Choose an appropriate completion method: photo, poster confirmation, or both.</w:t>
            </w:r>
          </w:p>
        </w:tc>
      </w:tr>
    </w:tbl>
    <w:p>
      <w:pPr>
        <w:widowControl/>
        <w:spacing w:after="0"/>
      </w:pPr>
    </w:p>
    <w:p>
      <w:pPr>
        <w:pStyle w:val="Heading2"/>
        <w:keepNext/>
      </w:pPr>
      <w:r>
        <w:t>Discover, request, accept</w:t>
      </w:r>
    </w:p>
    <w:p>
      <w:pPr>
        <w:pStyle w:val="ListBullet"/>
        <w:spacing w:after="40"/>
      </w:pPr>
      <w:r>
        <w:t>Map and list views show active quests with type, distance band, time, open spots, and a safety/status label.</w:t>
      </w:r>
    </w:p>
    <w:p>
      <w:pPr>
        <w:pStyle w:val="ListBullet"/>
        <w:spacing w:after="40"/>
      </w:pPr>
      <w:r>
        <w:t>Filters help students find activities by time, category, accessibility, or distance. A feed view supports browsing beyond the map.</w:t>
      </w:r>
    </w:p>
    <w:p>
      <w:pPr>
        <w:pStyle w:val="ListBullet"/>
        <w:spacing w:after="40"/>
      </w:pPr>
      <w:r>
        <w:t>An account holder opens a quest, reads the expectations,</w:t>
      </w:r>
    </w:p>
    <w:p>
      <w:pPr>
        <w:pStyle w:val="ListBullet"/>
        <w:spacing w:after="40"/>
      </w:pPr>
      <w:r>
        <w:t>The poster accepts or declines. Declined requests do not expose a reason publicly. A quest room opens only after acceptance.</w:t>
      </w:r>
    </w:p>
    <w:p>
      <w:pPr>
        <w:pStyle w:val="Heading2"/>
        <w:keepNext/>
      </w:pPr>
      <w:r>
        <w:t>Coordinate and complete</w:t>
      </w:r>
    </w:p>
    <w:p>
      <w:pPr>
        <w:pStyle w:val="ListBullet"/>
        <w:spacing w:after="40"/>
      </w:pPr>
      <w:r>
        <w:t>The room shows quest details, accepted participants, an in-room chat, and report/leave controls. System notices record acceptance, changes, and closure.</w:t>
      </w:r>
    </w:p>
    <w:p>
      <w:pPr>
        <w:pStyle w:val="ListBullet"/>
        <w:spacing w:after="40"/>
      </w:pPr>
      <w:r>
        <w:t>After the activity, the poster submits proof or confirms completion. Participants can flag a concern. Moderation can review a disputed completion.</w:t>
      </w:r>
    </w:p>
    <w:p>
      <w:pPr>
        <w:pStyle w:val="ListBullet"/>
        <w:spacing w:after="40"/>
      </w:pPr>
      <w:r>
        <w:t>The quest closes when the completion rule is met, or becomes cancelled/expired. The room becomes read-only for a short retention window, then is deleted or archived according to policy.</w:t>
      </w:r>
    </w:p>
    <w:p>
      <w:pPr>
        <w:pStyle w:val="Heading2"/>
        <w:keepNext/>
      </w:pPr>
      <w:r>
        <w:t>Social layer</w:t>
      </w:r>
    </w:p>
    <w:p>
      <w:pPr>
        <w:widowControl/>
      </w:pPr>
      <w:r>
        <w:t>Offer a local discovery feed of quests</w:t>
      </w:r>
    </w:p>
    <w:p>
      <w:pPr>
        <w:pStyle w:val="Heading1"/>
        <w:keepNext/>
      </w:pPr>
      <w:r>
        <w:t>4. Quest lifecycle and points</w:t>
      </w:r>
    </w:p>
    <w:tbl>
      <w:tblPr>
        <w:tblStyle w:val="TableGrid"/>
        <w:tblW w:type="auto" w:w="0"/>
        <w:jc w:val="center"/>
        <w:tblLayout w:type="fixed"/>
        <w:tblLook w:firstColumn="1" w:firstRow="1" w:lastColumn="0" w:lastRow="0" w:noHBand="0" w:noVBand="1" w:val="04A0"/>
      </w:tblPr>
      <w:tblGrid>
        <w:gridCol w:w="4997"/>
        <w:gridCol w:w="4997"/>
      </w:tblGrid>
      <w:tr>
        <w:tc>
          <w:tcPr>
            <w:tcW w:type="dxa" w:w="2448"/>
            <w:vAlign w:val="center"/>
            <w:shd w:fill="16263D"/>
          </w:tcPr>
          <w:p>
            <w:r>
              <w:t>STATE</w:t>
            </w:r>
          </w:p>
        </w:tc>
        <w:tc>
          <w:tcPr>
            <w:tcW w:type="dxa" w:w="6912"/>
            <w:vAlign w:val="center"/>
            <w:shd w:fill="16263D"/>
          </w:tcPr>
          <w:p>
            <w:r>
              <w:t>ENTRY / EXIT</w:t>
            </w:r>
          </w:p>
        </w:tc>
      </w:tr>
      <w:tr>
        <w:tc>
          <w:tcPr>
            <w:tcW w:type="dxa" w:w="2448"/>
            <w:vAlign w:val="center"/>
            <w:shd w:fill="F2F5F8"/>
          </w:tcPr>
          <w:p>
            <w:r>
              <w:t>Draft</w:t>
            </w:r>
          </w:p>
        </w:tc>
        <w:tc>
          <w:tcPr>
            <w:tcW w:type="dxa" w:w="6912"/>
            <w:vAlign w:val="center"/>
            <w:shd w:fill="F2F5F8"/>
          </w:tcPr>
          <w:p>
            <w:r>
              <w:t>Visible only to poster; not yet on map.</w:t>
            </w:r>
          </w:p>
        </w:tc>
      </w:tr>
      <w:tr>
        <w:tc>
          <w:tcPr>
            <w:tcW w:type="dxa" w:w="2448"/>
            <w:vAlign w:val="center"/>
          </w:tcPr>
          <w:p>
            <w:r>
              <w:t>Open</w:t>
            </w:r>
          </w:p>
        </w:tc>
        <w:tc>
          <w:tcPr>
            <w:tcW w:type="dxa" w:w="6912"/>
            <w:vAlign w:val="center"/>
          </w:tcPr>
          <w:p>
            <w:r>
              <w:t>Published and accepting join requests until filled, cancelled, or expired.</w:t>
            </w:r>
          </w:p>
        </w:tc>
      </w:tr>
      <w:tr>
        <w:tc>
          <w:tcPr>
            <w:tcW w:type="dxa" w:w="2448"/>
            <w:vAlign w:val="center"/>
            <w:shd w:fill="F2F5F8"/>
          </w:tcPr>
          <w:p>
            <w:r>
              <w:t>Pending requests</w:t>
            </w:r>
          </w:p>
        </w:tc>
        <w:tc>
          <w:tcPr>
            <w:tcW w:type="dxa" w:w="6912"/>
            <w:vAlign w:val="center"/>
            <w:shd w:fill="F2F5F8"/>
          </w:tcPr>
          <w:p>
            <w:r>
              <w:t>One or more users have requested to join; poster reviews each request.</w:t>
            </w:r>
          </w:p>
        </w:tc>
      </w:tr>
      <w:tr>
        <w:tc>
          <w:tcPr>
            <w:tcW w:type="dxa" w:w="2448"/>
            <w:vAlign w:val="center"/>
          </w:tcPr>
          <w:p>
            <w:r>
              <w:t>Accepted / active</w:t>
            </w:r>
          </w:p>
        </w:tc>
        <w:tc>
          <w:tcPr>
            <w:tcW w:type="dxa" w:w="6912"/>
            <w:vAlign w:val="center"/>
          </w:tcPr>
          <w:p>
            <w:r>
              <w:t>Poster accepts at least one participant; private room is available.</w:t>
            </w:r>
          </w:p>
        </w:tc>
      </w:tr>
      <w:tr>
        <w:tc>
          <w:tcPr>
            <w:tcW w:type="dxa" w:w="2448"/>
            <w:vAlign w:val="center"/>
            <w:shd w:fill="F2F5F8"/>
          </w:tcPr>
          <w:p>
            <w:r>
              <w:t>Completion pending</w:t>
            </w:r>
          </w:p>
        </w:tc>
        <w:tc>
          <w:tcPr>
            <w:tcW w:type="dxa" w:w="6912"/>
            <w:vAlign w:val="center"/>
            <w:shd w:fill="F2F5F8"/>
          </w:tcPr>
          <w:p>
            <w:r>
              <w:t>Poster submits proof or confirmation; participants can raise a dispute.</w:t>
            </w:r>
          </w:p>
        </w:tc>
      </w:tr>
      <w:tr>
        <w:tc>
          <w:tcPr>
            <w:tcW w:type="dxa" w:w="2448"/>
            <w:vAlign w:val="center"/>
          </w:tcPr>
          <w:p>
            <w:r>
              <w:t>Completed</w:t>
            </w:r>
          </w:p>
        </w:tc>
        <w:tc>
          <w:tcPr>
            <w:tcW w:type="dxa" w:w="6912"/>
            <w:vAlign w:val="center"/>
          </w:tcPr>
          <w:p>
            <w:r>
              <w:t>Proof meets the quest rule or poster confirms completion; points are awarded once.</w:t>
            </w:r>
          </w:p>
        </w:tc>
      </w:tr>
      <w:tr>
        <w:tc>
          <w:tcPr>
            <w:tcW w:type="dxa" w:w="2448"/>
            <w:vAlign w:val="center"/>
            <w:shd w:fill="F2F5F8"/>
          </w:tcPr>
          <w:p>
            <w:r>
              <w:t>Cancelled / expired / disputed</w:t>
            </w:r>
          </w:p>
        </w:tc>
        <w:tc>
          <w:tcPr>
            <w:tcW w:type="dxa" w:w="6912"/>
            <w:vAlign w:val="center"/>
            <w:shd w:fill="F2F5F8"/>
          </w:tcPr>
          <w:p>
            <w:r>
              <w:t>No new joins. Room and evidence are handled under retention and moderation rules.</w:t>
            </w:r>
          </w:p>
        </w:tc>
      </w:tr>
    </w:tbl>
    <w:p>
      <w:pPr>
        <w:widowControl/>
        <w:spacing w:after="0"/>
      </w:pPr>
    </w:p>
    <w:p>
      <w:pPr>
        <w:pStyle w:val="Heading2"/>
        <w:keepNext/>
      </w:pPr>
      <w:r>
        <w:t>Photo proof should be flexible</w:t>
      </w:r>
    </w:p>
    <w:p>
      <w:pPr>
        <w:widowControl/>
      </w:pPr>
      <w:r>
        <w:t>A photo is a useful completion signal, but it should not become a universal requirement. Some activities are private, sensitive, or impractical to photograph; a library book pickup may require a handoff confirmation rather than an image of personal information. Let each quest choose an appropriate proof method. Require a consent check before upload, strip location metadata, block public sharing by default, and provide a report route for unsafe or misleading evidence.</w:t>
      </w:r>
    </w:p>
    <w:p>
      <w:pPr>
        <w:pStyle w:val="Heading2"/>
        <w:keepNext/>
      </w:pPr>
      <w:r>
        <w:t>A fair points model</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vAlign w:val="center"/>
            <w:shd w:fill="16263D"/>
          </w:tcPr>
          <w:p>
            <w:r>
              <w:t>ACTION</w:t>
            </w:r>
          </w:p>
        </w:tc>
        <w:tc>
          <w:tcPr>
            <w:tcW w:type="dxa" w:w="6480"/>
            <w:vAlign w:val="center"/>
            <w:shd w:fill="16263D"/>
          </w:tcPr>
          <w:p>
            <w:r>
              <w:t>STARTING RULE</w:t>
            </w:r>
          </w:p>
        </w:tc>
      </w:tr>
      <w:tr>
        <w:tc>
          <w:tcPr>
            <w:tcW w:type="dxa" w:w="2880"/>
            <w:vAlign w:val="center"/>
            <w:shd w:fill="F2F5F8"/>
          </w:tcPr>
          <w:p>
            <w:r>
              <w:t>Complete a social activity</w:t>
            </w:r>
          </w:p>
        </w:tc>
        <w:tc>
          <w:tcPr>
            <w:tcW w:type="dxa" w:w="6480"/>
            <w:vAlign w:val="center"/>
            <w:shd w:fill="F2F5F8"/>
          </w:tcPr>
          <w:p>
            <w:r>
              <w:t>10 points per eligible participant after valid completion; add a 5-point host bonus. All awards count toward the daily cap.</w:t>
            </w:r>
          </w:p>
        </w:tc>
      </w:tr>
      <w:tr>
        <w:tc>
          <w:tcPr>
            <w:tcW w:type="dxa" w:w="2880"/>
            <w:vAlign w:val="center"/>
          </w:tcPr>
          <w:p>
            <w:r>
              <w:t>Complete a favor</w:t>
            </w:r>
          </w:p>
        </w:tc>
        <w:tc>
          <w:tcPr>
            <w:tcW w:type="dxa" w:w="6480"/>
            <w:vAlign w:val="center"/>
          </w:tcPr>
          <w:p>
            <w:r>
              <w:t>5 or 10 points based on the effort level selected before posting; award only after valid completion.</w:t>
            </w:r>
          </w:p>
        </w:tc>
      </w:tr>
      <w:tr>
        <w:tc>
          <w:tcPr>
            <w:tcW w:type="dxa" w:w="2880"/>
            <w:vAlign w:val="center"/>
            <w:shd w:fill="F2F5F8"/>
          </w:tcPr>
          <w:p>
            <w:r>
              <w:t>Host reliably</w:t>
            </w:r>
          </w:p>
        </w:tc>
        <w:tc>
          <w:tcPr>
            <w:tcW w:type="dxa" w:w="6480"/>
            <w:vAlign w:val="center"/>
            <w:shd w:fill="F2F5F8"/>
          </w:tcPr>
          <w:p>
            <w:r>
              <w:t>A 5-point bonus for a completed quest; apply the same daily cap and anti-gaming review.</w:t>
            </w:r>
          </w:p>
        </w:tc>
      </w:tr>
      <w:tr>
        <w:tc>
          <w:tcPr>
            <w:tcW w:type="dxa" w:w="2880"/>
            <w:vAlign w:val="center"/>
          </w:tcPr>
          <w:p>
            <w:r>
              <w:t>Helpful contribution</w:t>
            </w:r>
          </w:p>
        </w:tc>
        <w:tc>
          <w:tcPr>
            <w:tcW w:type="dxa" w:w="6480"/>
            <w:vAlign w:val="center"/>
          </w:tcPr>
          <w:p>
            <w:r>
              <w:t>No peer-to-peer point gifts in the pilot. Any non-point recognition must not affect rankings.</w:t>
            </w:r>
          </w:p>
        </w:tc>
      </w:tr>
      <w:tr>
        <w:tc>
          <w:tcPr>
            <w:tcW w:type="dxa" w:w="2880"/>
            <w:vAlign w:val="center"/>
            <w:shd w:fill="F2F5F8"/>
          </w:tcPr>
          <w:p>
            <w:r>
              <w:t>No-show or cancellation</w:t>
            </w:r>
          </w:p>
        </w:tc>
        <w:tc>
          <w:tcPr>
            <w:tcW w:type="dxa" w:w="6480"/>
            <w:vAlign w:val="center"/>
            <w:shd w:fill="F2F5F8"/>
          </w:tcPr>
          <w:p>
            <w:r>
              <w:t>No points; repeated patterns affect reliability status after review.</w:t>
            </w:r>
          </w:p>
        </w:tc>
      </w:tr>
    </w:tbl>
    <w:p>
      <w:pPr>
        <w:widowControl/>
        <w:spacing w:after="0"/>
      </w:pPr>
    </w:p>
    <w:p>
      <w:pPr>
        <w:pStyle w:val="ListBullet"/>
        <w:spacing w:after="40"/>
      </w:pPr>
      <w:r>
        <w:t>Use four-week point seasons. After valid completion, award 10 points to each eligible participant for an activity and add a 5-point host bonus. For a completed bounded favor, award 5 or 10 points according to the effort level selected before posting. Cap each account at 20 points per Dubai local day. Do not award points for creating a quest, requesting to join, or peer-to-peer thank-you gifts. Hold points during a completion dispute. Record each award as an immutable, idempotent ledger entry; make corrections with a compensating entry and a moderator reason.</w:t>
      </w:r>
    </w:p>
    <w:p>
      <w:pPr>
        <w:pStyle w:val="ListBullet"/>
        <w:spacing w:after="40"/>
      </w:pPr>
      <w:r>
        <w:t>Show only the top 10 accounts for each season, using display names only for users who opted in. Let users opt out at any time and keep their private point history visible to them.</w:t>
      </w:r>
    </w:p>
    <w:p>
      <w:pPr>
        <w:pStyle w:val="ListBullet"/>
        <w:spacing w:after="40"/>
      </w:pPr>
      <w:r>
        <w:t>Reset seasonal ranking totals every four weeks while preserving private historical achievements and ledger records.</w:t>
      </w:r>
    </w:p>
    <w:p>
      <w:pPr>
        <w:pStyle w:val="ListBullet"/>
        <w:spacing w:after="40"/>
      </w:pPr>
      <w:r>
        <w:t>Detect duplicate proof, reciprocal rings, self-dealing, unusually fast completions, and excessive account creation; review before removing points.</w:t>
      </w:r>
    </w:p>
    <w:p>
      <w:pPr>
        <w:widowControl/>
      </w:pPr>
      <w:r>
        <w:br w:type="page"/>
      </w:r>
    </w:p>
    <w:p>
      <w:pPr>
        <w:pStyle w:val="Heading1"/>
        <w:keepNext/>
      </w:pPr>
      <w:r>
        <w:t>5. Safety, privacy, and community operations</w:t>
      </w:r>
    </w:p>
    <w:p>
      <w:pPr>
        <w:widowControl/>
      </w:pPr>
      <w:r>
        <w:t>Side Quest brings people from an online request into an in-person meeting. Safety must shape product rules and interfaces from the first pilot, with a named person responsible for reports and timely moderation.</w:t>
      </w:r>
    </w:p>
    <w:p>
      <w:pPr>
        <w:pStyle w:val="Heading2"/>
        <w:keepNext/>
      </w:pPr>
      <w:r>
        <w:t>Minimum safety controls for pilot</w:t>
      </w:r>
    </w:p>
    <w:tbl>
      <w:tblPr>
        <w:tblStyle w:val="TableGrid"/>
        <w:tblW w:type="auto" w:w="0"/>
        <w:jc w:val="center"/>
        <w:tblLayout w:type="fixed"/>
        <w:tblLook w:firstColumn="1" w:firstRow="1" w:lastColumn="0" w:lastRow="0" w:noHBand="0" w:noVBand="1" w:val="04A0"/>
      </w:tblPr>
      <w:tblGrid>
        <w:gridCol w:w="4997"/>
        <w:gridCol w:w="4997"/>
      </w:tblGrid>
      <w:tr>
        <w:tc>
          <w:tcPr>
            <w:tcW w:type="dxa" w:w="1728"/>
            <w:vAlign w:val="center"/>
            <w:shd w:fill="16263D"/>
          </w:tcPr>
          <w:p>
            <w:r>
              <w:t>AREA</w:t>
            </w:r>
          </w:p>
        </w:tc>
        <w:tc>
          <w:tcPr>
            <w:tcW w:type="dxa" w:w="7632"/>
            <w:vAlign w:val="center"/>
            <w:shd w:fill="16263D"/>
          </w:tcPr>
          <w:p>
            <w:r>
              <w:t>CONTROL</w:t>
            </w:r>
          </w:p>
        </w:tc>
      </w:tr>
      <w:tr>
        <w:tc>
          <w:tcPr>
            <w:tcW w:type="dxa" w:w="1728"/>
            <w:vAlign w:val="center"/>
            <w:shd w:fill="F2F5F8"/>
          </w:tcPr>
          <w:p>
            <w:r>
              <w:t>Identity</w:t>
            </w:r>
          </w:p>
        </w:tc>
        <w:tc>
          <w:tcPr>
            <w:tcW w:type="dxa" w:w="7632"/>
            <w:vAlign w:val="center"/>
            <w:shd w:fill="F2F5F8"/>
          </w:tcPr>
          <w:p>
            <w:r>
              <w:t>Supabase Auth Free initially for Google sign-in or email/password, subject to current quotas; require email confirmation for password accounts and configure production SMTP. Require an 18+ self-declaration during registration; Google sign-in authenticates the account but does not verify age. Include account recovery, safety controls, chosen display name, and optional community membership only for restricted spaces.</w:t>
            </w:r>
          </w:p>
        </w:tc>
      </w:tr>
      <w:tr>
        <w:tc>
          <w:tcPr>
            <w:tcW w:type="dxa" w:w="1728"/>
            <w:vAlign w:val="center"/>
          </w:tcPr>
          <w:p>
            <w:r>
              <w:t>Location</w:t>
            </w:r>
          </w:p>
        </w:tc>
        <w:tc>
          <w:tcPr>
            <w:tcW w:type="dxa" w:w="7632"/>
            <w:vAlign w:val="center"/>
          </w:tcPr>
          <w:p>
            <w:r>
              <w:t>Show quest venue pins, not users’ live positions. Avoid home/private addresses; prompt for public meeting points.</w:t>
            </w:r>
          </w:p>
        </w:tc>
      </w:tr>
      <w:tr>
        <w:tc>
          <w:tcPr>
            <w:tcW w:type="dxa" w:w="1728"/>
            <w:vAlign w:val="center"/>
            <w:shd w:fill="F2F5F8"/>
          </w:tcPr>
          <w:p>
            <w:r>
              <w:t>Joining</w:t>
            </w:r>
          </w:p>
        </w:tc>
        <w:tc>
          <w:tcPr>
            <w:tcW w:type="dxa" w:w="7632"/>
            <w:vAlign w:val="center"/>
            <w:shd w:fill="F2F5F8"/>
          </w:tcPr>
          <w:p>
            <w:r>
              <w:t>Poster accepts participants. Limit group size and disallow unsolicited direct messages outside accepted quest rooms.</w:t>
            </w:r>
          </w:p>
        </w:tc>
      </w:tr>
      <w:tr>
        <w:tc>
          <w:tcPr>
            <w:tcW w:type="dxa" w:w="1728"/>
            <w:vAlign w:val="center"/>
          </w:tcPr>
          <w:p>
            <w:r>
              <w:t>Meetups</w:t>
            </w:r>
          </w:p>
        </w:tc>
        <w:tc>
          <w:tcPr>
            <w:tcW w:type="dxa" w:w="7632"/>
            <w:vAlign w:val="center"/>
          </w:tcPr>
          <w:p>
            <w:r>
              <w:t>Show an in-product reminder to meet in public, tell a friend, and leave/report if uncomfortable.</w:t>
            </w:r>
          </w:p>
        </w:tc>
      </w:tr>
      <w:tr>
        <w:tc>
          <w:tcPr>
            <w:tcW w:type="dxa" w:w="1728"/>
            <w:vAlign w:val="center"/>
            <w:shd w:fill="F2F5F8"/>
          </w:tcPr>
          <w:p>
            <w:r>
              <w:t>Reporting</w:t>
            </w:r>
          </w:p>
        </w:tc>
        <w:tc>
          <w:tcPr>
            <w:tcW w:type="dxa" w:w="7632"/>
            <w:vAlign w:val="center"/>
            <w:shd w:fill="F2F5F8"/>
          </w:tcPr>
          <w:p>
            <w:r>
              <w:t>Report/block from profile, quest, chat, and evidence. Give moderators case status and an escalation path.</w:t>
            </w:r>
          </w:p>
        </w:tc>
      </w:tr>
      <w:tr>
        <w:tc>
          <w:tcPr>
            <w:tcW w:type="dxa" w:w="1728"/>
            <w:vAlign w:val="center"/>
          </w:tcPr>
          <w:p>
            <w:r>
              <w:t>Evidence</w:t>
            </w:r>
          </w:p>
        </w:tc>
        <w:tc>
          <w:tcPr>
            <w:tcW w:type="dxa" w:w="7632"/>
            <w:vAlign w:val="center"/>
          </w:tcPr>
          <w:p>
            <w:r>
              <w:t>Private by default, consent prompt before upload, EXIF/location metadata removed, time-limited retention.</w:t>
            </w:r>
          </w:p>
        </w:tc>
      </w:tr>
      <w:tr>
        <w:tc>
          <w:tcPr>
            <w:tcW w:type="dxa" w:w="1728"/>
            <w:vAlign w:val="center"/>
            <w:shd w:fill="F2F5F8"/>
          </w:tcPr>
          <w:p>
            <w:r>
              <w:t>Content</w:t>
            </w:r>
          </w:p>
        </w:tc>
        <w:tc>
          <w:tcPr>
            <w:tcW w:type="dxa" w:w="7632"/>
            <w:vAlign w:val="center"/>
            <w:shd w:fill="F2F5F8"/>
          </w:tcPr>
          <w:p>
            <w:r>
              <w:t>Text and image reporting, rate limits, spam controls, and the ability to remove harmful posts.</w:t>
            </w:r>
          </w:p>
        </w:tc>
      </w:tr>
      <w:tr>
        <w:tc>
          <w:tcPr>
            <w:tcW w:type="dxa" w:w="1728"/>
            <w:vAlign w:val="center"/>
          </w:tcPr>
          <w:p>
            <w:r>
              <w:t>Favors</w:t>
            </w:r>
          </w:p>
        </w:tc>
        <w:tc>
          <w:tcPr>
            <w:tcW w:type="dxa" w:w="7632"/>
            <w:vAlign w:val="center"/>
          </w:tcPr>
          <w:p>
            <w:r>
              <w:t>Prohibit dangerous, illegal, high-value, intimate, medical, financial, or credential-related requests.</w:t>
            </w:r>
          </w:p>
        </w:tc>
      </w:tr>
      <w:tr>
        <w:tc>
          <w:tcPr>
            <w:tcW w:type="dxa" w:w="1728"/>
            <w:vAlign w:val="center"/>
            <w:shd w:fill="F2F5F8"/>
          </w:tcPr>
          <w:p>
            <w:r>
              <w:t>Accessibility</w:t>
            </w:r>
          </w:p>
        </w:tc>
        <w:tc>
          <w:tcPr>
            <w:tcW w:type="dxa" w:w="7632"/>
            <w:vAlign w:val="center"/>
            <w:shd w:fill="F2F5F8"/>
          </w:tcPr>
          <w:p>
            <w:r>
              <w:t>Provide keyboard support, readable contrast, map list alternative, and clear text descriptions.</w:t>
            </w:r>
          </w:p>
        </w:tc>
      </w:tr>
    </w:tbl>
    <w:p>
      <w:pPr>
        <w:widowControl/>
        <w:spacing w:after="0"/>
      </w:pPr>
    </w:p>
    <w:p>
      <w:pPr>
        <w:pStyle w:val="Heading2"/>
        <w:keepNext/>
      </w:pPr>
      <w:r>
        <w:t>Community rules</w:t>
      </w:r>
    </w:p>
    <w:p>
      <w:pPr>
        <w:pStyle w:val="ListBullet"/>
        <w:spacing w:after="40"/>
      </w:pPr>
      <w:r>
        <w:t>No harassment, discrimination, stalking, threats, sexual exploitation, doxxing, or pressure to share private contact details.</w:t>
      </w:r>
    </w:p>
    <w:p>
      <w:pPr>
        <w:pStyle w:val="ListBullet"/>
        <w:spacing w:after="40"/>
      </w:pPr>
      <w:r>
        <w:t>No money transfers, lending, delivery of controlled goods, access to accounts, or tasks that create unsafe power dynamics.</w:t>
      </w:r>
    </w:p>
    <w:p>
      <w:pPr>
        <w:pStyle w:val="ListBullet"/>
        <w:spacing w:after="40"/>
      </w:pPr>
      <w:r>
        <w:t>No misleading quest details, fake completion evidence, point manipulation, or repeated unwanted invitations.</w:t>
      </w:r>
    </w:p>
    <w:p>
      <w:pPr>
        <w:pStyle w:val="ListBullet"/>
        <w:spacing w:after="40"/>
      </w:pPr>
      <w:r>
        <w:t>Users can leave a quest room at any time. Blocking prevents future requests and hides the blocker’s profile where practical.</w:t>
      </w:r>
    </w:p>
    <w:p>
      <w:pPr>
        <w:pStyle w:val="Heading2"/>
        <w:keepNext/>
      </w:pPr>
      <w:r>
        <w:t>Privacy and data handling</w:t>
      </w:r>
    </w:p>
    <w:p>
      <w:pPr>
        <w:pStyle w:val="ListBullet"/>
        <w:spacing w:after="40"/>
      </w:pPr>
      <w:r>
        <w:t>Collect only what is needed: account identifier and authentication state, optional community membership, profile choices, quest content, join decisions, chat, proof, and safety reports. Do not collect student-enrollment evidence for general access.</w:t>
      </w:r>
    </w:p>
    <w:p>
      <w:pPr>
        <w:pStyle w:val="ListBullet"/>
        <w:spacing w:after="40"/>
      </w:pPr>
      <w:r>
        <w:t>Keep profile discovery limited to adults aged 18 or older, account standing, user privacy choices, and any deliberately scoped community rules. Do not imply verified student status.</w:t>
      </w:r>
    </w:p>
    <w:p>
      <w:pPr>
        <w:pStyle w:val="ListBullet"/>
        <w:spacing w:after="40"/>
      </w:pPr>
      <w:r>
        <w:t>Do not store continuous GPS tracks. Request device location only with clear permission to center the map; allow manual area search and map browsing.</w:t>
      </w:r>
    </w:p>
    <w:p>
      <w:pPr>
        <w:pStyle w:val="ListBullet"/>
        <w:spacing w:after="40"/>
      </w:pPr>
      <w:r>
        <w:t>Define retention periods for chat, photos, reports, and account deletion. Preserve only the minimum records required for open cases, fraud prevention, or applicable obligations.</w:t>
      </w:r>
    </w:p>
    <w:p>
      <w:pPr>
        <w:pStyle w:val="ListBullet"/>
        <w:spacing w:after="40"/>
      </w:pPr>
      <w:r>
        <w:t>Encrypt traffic and stored sensitive data; restrict staff access; log moderator actions; support export and deletion workflows.</w:t>
      </w:r>
    </w:p>
    <w:tbl>
      <w:tblPr>
        <w:tblW w:type="auto" w:w="0"/>
        <w:jc w:val="center"/>
        <w:tblLook w:firstColumn="1" w:firstRow="1" w:lastColumn="0" w:lastRow="0" w:noHBand="0" w:noVBand="1" w:val="04A0"/>
      </w:tblPr>
      <w:tblGrid>
        <w:gridCol w:w="9994"/>
      </w:tblGrid>
      <w:tr>
        <w:tc>
          <w:tcPr>
            <w:tcW w:type="dxa" w:w="9994"/>
            <w:shd w:fill="E5F3F0"/>
          </w:tcPr>
          <w:p>
            <w:r>
              <w:t>OPERATING RULE  Publish who handles reports, expected response times, and what the service does in an emergency. Side Quest is not an emergency response service.</w:t>
            </w:r>
          </w:p>
        </w:tc>
      </w:tr>
    </w:tbl>
    <w:p>
      <w:pPr>
        <w:widowControl/>
        <w:spacing w:after="0"/>
      </w:pPr>
    </w:p>
    <w:p>
      <w:pPr>
        <w:pStyle w:val="Heading1"/>
        <w:keepNext/>
      </w:pPr>
      <w:r>
        <w:t>6. Website structure and feature scope</w:t>
      </w:r>
    </w:p>
    <w:p>
      <w:pPr>
        <w:pStyle w:val="Heading2"/>
        <w:keepNext/>
      </w:pPr>
      <w:r>
        <w:t>Primary navigation</w:t>
      </w:r>
    </w:p>
    <w:tbl>
      <w:tblPr>
        <w:tblStyle w:val="TableGrid"/>
        <w:tblW w:type="auto" w:w="0"/>
        <w:jc w:val="center"/>
        <w:tblLayout w:type="fixed"/>
        <w:tblLook w:firstColumn="1" w:firstRow="1" w:lastColumn="0" w:lastRow="0" w:noHBand="0" w:noVBand="1" w:val="04A0"/>
      </w:tblPr>
      <w:tblGrid>
        <w:gridCol w:w="4997"/>
        <w:gridCol w:w="4997"/>
      </w:tblGrid>
      <w:tr>
        <w:tc>
          <w:tcPr>
            <w:tcW w:type="dxa" w:w="2088"/>
            <w:vAlign w:val="center"/>
            <w:shd w:fill="16263D"/>
          </w:tcPr>
          <w:p>
            <w:r>
              <w:t>AREA</w:t>
            </w:r>
          </w:p>
        </w:tc>
        <w:tc>
          <w:tcPr>
            <w:tcW w:type="dxa" w:w="7272"/>
            <w:vAlign w:val="center"/>
            <w:shd w:fill="16263D"/>
          </w:tcPr>
          <w:p>
            <w:r>
              <w:t>PURPOSE</w:t>
            </w:r>
          </w:p>
        </w:tc>
      </w:tr>
      <w:tr>
        <w:tc>
          <w:tcPr>
            <w:tcW w:type="dxa" w:w="2088"/>
            <w:vAlign w:val="center"/>
            <w:shd w:fill="F2F5F8"/>
          </w:tcPr>
          <w:p>
            <w:r>
              <w:t>Explore</w:t>
            </w:r>
          </w:p>
        </w:tc>
        <w:tc>
          <w:tcPr>
            <w:tcW w:type="dxa" w:w="7272"/>
            <w:vAlign w:val="center"/>
            <w:shd w:fill="F2F5F8"/>
          </w:tcPr>
          <w:p>
            <w:r>
              <w:t>Map and list of active nearby quests posted by local account holders, filters, and a create-quest action.</w:t>
            </w:r>
          </w:p>
        </w:tc>
      </w:tr>
      <w:tr>
        <w:tc>
          <w:tcPr>
            <w:tcW w:type="dxa" w:w="2088"/>
            <w:vAlign w:val="center"/>
          </w:tcPr>
          <w:p>
            <w:r>
              <w:t>Activity feed</w:t>
            </w:r>
          </w:p>
        </w:tc>
        <w:tc>
          <w:tcPr>
            <w:tcW w:type="dxa" w:w="7272"/>
            <w:vAlign w:val="center"/>
          </w:tcPr>
          <w:p>
            <w:r>
              <w:t>Quest updates and opt-in completed recaps from account holders and optional communities.</w:t>
            </w:r>
          </w:p>
        </w:tc>
      </w:tr>
      <w:tr>
        <w:tc>
          <w:tcPr>
            <w:tcW w:type="dxa" w:w="2088"/>
            <w:vAlign w:val="center"/>
            <w:shd w:fill="F2F5F8"/>
          </w:tcPr>
          <w:p>
            <w:r>
              <w:t>Post a quest</w:t>
            </w:r>
          </w:p>
        </w:tc>
        <w:tc>
          <w:tcPr>
            <w:tcW w:type="dxa" w:w="7272"/>
            <w:vAlign w:val="center"/>
            <w:shd w:fill="F2F5F8"/>
          </w:tcPr>
          <w:p>
            <w:r>
              <w:t>Guided form with activity/favor type, safety prompts, audience, time, place, and proof choice.</w:t>
            </w:r>
          </w:p>
        </w:tc>
      </w:tr>
      <w:tr>
        <w:tc>
          <w:tcPr>
            <w:tcW w:type="dxa" w:w="2088"/>
            <w:vAlign w:val="center"/>
          </w:tcPr>
          <w:p>
            <w:r>
              <w:t>Inbox</w:t>
            </w:r>
          </w:p>
        </w:tc>
        <w:tc>
          <w:tcPr>
            <w:tcW w:type="dxa" w:w="7272"/>
            <w:vAlign w:val="center"/>
          </w:tcPr>
          <w:p>
            <w:r>
              <w:t>Join requests, accepted quest rooms, unread chat, and system updates.</w:t>
            </w:r>
          </w:p>
        </w:tc>
      </w:tr>
      <w:tr>
        <w:tc>
          <w:tcPr>
            <w:tcW w:type="dxa" w:w="2088"/>
            <w:vAlign w:val="center"/>
            <w:shd w:fill="F2F5F8"/>
          </w:tcPr>
          <w:p>
            <w:r>
              <w:t>Leaderboard</w:t>
            </w:r>
          </w:p>
        </w:tc>
        <w:tc>
          <w:tcPr>
            <w:tcW w:type="dxa" w:w="7272"/>
            <w:vAlign w:val="center"/>
            <w:shd w:fill="F2F5F8"/>
          </w:tcPr>
          <w:p>
            <w:r>
              <w:t>Top 10 for the current four-week season; participation is opt-in, display names only, and users may opt out at any time. Keep private history available.</w:t>
            </w:r>
          </w:p>
        </w:tc>
      </w:tr>
      <w:tr>
        <w:tc>
          <w:tcPr>
            <w:tcW w:type="dxa" w:w="2088"/>
            <w:vAlign w:val="center"/>
          </w:tcPr>
          <w:p>
            <w:r>
              <w:t>Profile</w:t>
            </w:r>
          </w:p>
        </w:tc>
        <w:tc>
          <w:tcPr>
            <w:tcW w:type="dxa" w:w="7272"/>
            <w:vAlign w:val="center"/>
          </w:tcPr>
          <w:p>
            <w:r>
              <w:t>Display name, optional profile details, interests, badges, privacy settings, blocked users, optional community memberships, and account controls; no student verification state is required.</w:t>
            </w:r>
          </w:p>
        </w:tc>
      </w:tr>
    </w:tbl>
    <w:p>
      <w:pPr>
        <w:widowControl/>
        <w:spacing w:after="0"/>
      </w:pPr>
    </w:p>
    <w:p>
      <w:pPr>
        <w:pStyle w:val="Heading2"/>
        <w:keepNext/>
      </w:pPr>
      <w:r>
        <w:t>MVP scope</w:t>
      </w:r>
    </w:p>
    <w:tbl>
      <w:tblPr>
        <w:tblStyle w:val="TableGrid"/>
        <w:tblW w:type="auto" w:w="0"/>
        <w:jc w:val="center"/>
        <w:tblLayout w:type="fixed"/>
        <w:tblLook w:firstColumn="1" w:firstRow="1" w:lastColumn="0" w:lastRow="0" w:noHBand="0" w:noVBand="1" w:val="04A0"/>
      </w:tblPr>
      <w:tblGrid>
        <w:gridCol w:w="4997"/>
        <w:gridCol w:w="4997"/>
      </w:tblGrid>
      <w:tr>
        <w:tc>
          <w:tcPr>
            <w:tcW w:type="dxa" w:w="4680"/>
            <w:vAlign w:val="center"/>
            <w:shd w:fill="16263D"/>
          </w:tcPr>
          <w:p>
            <w:r>
              <w:t>MUST HAVE</w:t>
            </w:r>
          </w:p>
        </w:tc>
        <w:tc>
          <w:tcPr>
            <w:tcW w:type="dxa" w:w="4680"/>
            <w:vAlign w:val="center"/>
            <w:shd w:fill="16263D"/>
          </w:tcPr>
          <w:p>
            <w:r>
              <w:t>SAVE FOR LATER</w:t>
            </w:r>
          </w:p>
        </w:tc>
      </w:tr>
      <w:tr>
        <w:tc>
          <w:tcPr>
            <w:tcW w:type="dxa" w:w="4680"/>
            <w:vAlign w:val="center"/>
            <w:shd w:fill="F2F5F8"/>
          </w:tcPr>
          <w:p>
            <w:r>
              <w:t>Responsive web app / installable PWA; Google sign-in/email-password account access, account recovery, 18+ age-assurance and abuse controls; profiles; map and list; quest creation; join requests and acceptance; group chat; completion and proof; points ledger; top-10 leaderboard; reporting, blocking, moderation console; admin analytics.</w:t>
            </w:r>
          </w:p>
        </w:tc>
        <w:tc>
          <w:tcPr>
            <w:tcW w:type="dxa" w:w="4680"/>
            <w:vAlign w:val="center"/>
            <w:shd w:fill="F2F5F8"/>
          </w:tcPr>
          <w:p>
            <w:r>
              <w:t>Geographic expansion at scale; public follower graph; DMs; event ticketing; payments; sponsored quests; AI matching; complex badges; native iOS/Android apps; club administration; map heatmaps.</w:t>
            </w:r>
          </w:p>
        </w:tc>
      </w:tr>
    </w:tbl>
    <w:p>
      <w:pPr>
        <w:widowControl/>
        <w:spacing w:after="0"/>
      </w:pPr>
    </w:p>
    <w:p>
      <w:pPr>
        <w:pStyle w:val="Heading2"/>
        <w:keepNext/>
      </w:pPr>
      <w:r>
        <w:t>Design notes</w:t>
      </w:r>
    </w:p>
    <w:p>
      <w:pPr>
        <w:pStyle w:val="ListBullet"/>
        <w:spacing w:after="40"/>
      </w:pPr>
      <w:r>
        <w:t>Use Mapbox as the initial map provider and retain a clear list view for users who cannot use the map or have low bandwidth. Validate map coverage and usability across all of Dubai Academic City; switch to Google Maps if Mapbox does not meet the launch needs.</w:t>
      </w:r>
    </w:p>
    <w:p>
      <w:pPr>
        <w:pStyle w:val="ListBullet"/>
        <w:spacing w:after="40"/>
      </w:pPr>
      <w:r>
        <w:t>Cluster dense map markers and let users set a distance/time window; do not put personally identifying details into marker previews.</w:t>
      </w:r>
    </w:p>
    <w:p>
      <w:pPr>
        <w:pStyle w:val="ListBullet"/>
        <w:spacing w:after="40"/>
      </w:pPr>
      <w:r>
        <w:t>Make state and trust visible: open, nearly full, accepted, complete, and reported content should look distinct.</w:t>
      </w:r>
    </w:p>
    <w:p>
      <w:pPr>
        <w:pStyle w:val="ListBullet"/>
        <w:spacing w:after="40"/>
      </w:pPr>
      <w:r>
        <w:t>On small screens, use a map/feed toggle and a bottom sheet for quest details; keep posting and joining forms short.</w:t>
      </w:r>
    </w:p>
    <w:p>
      <w:pPr>
        <w:widowControl/>
      </w:pPr>
      <w:r>
        <w:br w:type="page"/>
      </w:r>
    </w:p>
    <w:p>
      <w:pPr>
        <w:pStyle w:val="Heading1"/>
        <w:keepNext/>
      </w:pPr>
      <w:r>
        <w:t>7. Backend and technical architecture</w:t>
      </w:r>
    </w:p>
    <w:p>
      <w:pPr>
        <w:widowControl/>
      </w:pPr>
      <w:r>
        <w:t>For the first release, use a modular monolith with clear domain boundaries. It is simpler to build and operate than a fleet of microservices, while leaving room to split high-load areas later. Keep the API and web client in TypeScript if that matches the team’s skills.</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512"/>
            <w:vAlign w:val="center"/>
            <w:shd w:fill="16263D"/>
          </w:tcPr>
          <w:p>
            <w:r>
              <w:t>LAYER</w:t>
            </w:r>
          </w:p>
        </w:tc>
        <w:tc>
          <w:tcPr>
            <w:tcW w:type="dxa" w:w="3528"/>
            <w:vAlign w:val="center"/>
            <w:shd w:fill="16263D"/>
          </w:tcPr>
          <w:p>
            <w:r>
              <w:t>SUGGESTED CHOICE</w:t>
            </w:r>
          </w:p>
        </w:tc>
        <w:tc>
          <w:tcPr>
            <w:tcW w:type="dxa" w:w="4320"/>
            <w:vAlign w:val="center"/>
            <w:shd w:fill="16263D"/>
          </w:tcPr>
          <w:p>
            <w:r>
              <w:t>WHY IT FITS</w:t>
            </w:r>
          </w:p>
        </w:tc>
      </w:tr>
      <w:tr>
        <w:tc>
          <w:tcPr>
            <w:tcW w:type="dxa" w:w="1512"/>
            <w:vAlign w:val="center"/>
            <w:shd w:fill="F2F5F8"/>
          </w:tcPr>
          <w:p>
            <w:r>
              <w:t>Web client</w:t>
            </w:r>
          </w:p>
        </w:tc>
        <w:tc>
          <w:tcPr>
            <w:tcW w:type="dxa" w:w="3528"/>
            <w:vAlign w:val="center"/>
            <w:shd w:fill="F2F5F8"/>
          </w:tcPr>
          <w:p>
            <w:r>
              <w:t>Next.js / React, TypeScript, responsive PWA</w:t>
            </w:r>
          </w:p>
        </w:tc>
        <w:tc>
          <w:tcPr>
            <w:tcW w:type="dxa" w:w="4320"/>
            <w:vAlign w:val="center"/>
            <w:shd w:fill="F2F5F8"/>
          </w:tcPr>
          <w:p>
            <w:r>
              <w:t>Fast iteration, shareable quest URLs, installable mobile-friendly experience.</w:t>
            </w:r>
          </w:p>
        </w:tc>
      </w:tr>
      <w:tr>
        <w:tc>
          <w:tcPr>
            <w:tcW w:type="dxa" w:w="1512"/>
            <w:vAlign w:val="center"/>
          </w:tcPr>
          <w:p>
            <w:r>
              <w:t>API</w:t>
            </w:r>
          </w:p>
        </w:tc>
        <w:tc>
          <w:tcPr>
            <w:tcW w:type="dxa" w:w="3528"/>
            <w:vAlign w:val="center"/>
          </w:tcPr>
          <w:p>
            <w:r>
              <w:t>NestJS or a similarly structured TypeScript API</w:t>
            </w:r>
          </w:p>
        </w:tc>
        <w:tc>
          <w:tcPr>
            <w:tcW w:type="dxa" w:w="4320"/>
            <w:vAlign w:val="center"/>
          </w:tcPr>
          <w:p>
            <w:r>
              <w:t>Clear modules for identity, quests, chat, points, moderation, and admin.</w:t>
            </w:r>
          </w:p>
        </w:tc>
      </w:tr>
      <w:tr>
        <w:tc>
          <w:tcPr>
            <w:tcW w:type="dxa" w:w="1512"/>
            <w:vAlign w:val="center"/>
            <w:shd w:fill="F2F5F8"/>
          </w:tcPr>
          <w:p>
            <w:r>
              <w:t>Database</w:t>
            </w:r>
          </w:p>
        </w:tc>
        <w:tc>
          <w:tcPr>
            <w:tcW w:type="dxa" w:w="3528"/>
            <w:vAlign w:val="center"/>
            <w:shd w:fill="F2F5F8"/>
          </w:tcPr>
          <w:p>
            <w:r>
              <w:t>PostgreSQL with PostGIS</w:t>
            </w:r>
          </w:p>
        </w:tc>
        <w:tc>
          <w:tcPr>
            <w:tcW w:type="dxa" w:w="4320"/>
            <w:vAlign w:val="center"/>
            <w:shd w:fill="F2F5F8"/>
          </w:tcPr>
          <w:p>
            <w:r>
              <w:t>Transactional quest and points data, relational integrity, nearby-quest queries.</w:t>
            </w:r>
          </w:p>
        </w:tc>
      </w:tr>
      <w:tr>
        <w:tc>
          <w:tcPr>
            <w:tcW w:type="dxa" w:w="1512"/>
            <w:vAlign w:val="center"/>
          </w:tcPr>
          <w:p>
            <w:r>
              <w:t>Realtime</w:t>
            </w:r>
          </w:p>
        </w:tc>
        <w:tc>
          <w:tcPr>
            <w:tcW w:type="dxa" w:w="3528"/>
            <w:vAlign w:val="center"/>
          </w:tcPr>
          <w:p>
            <w:r>
              <w:t>WebSocket gateway with Redis pub/sub as needed</w:t>
            </w:r>
          </w:p>
        </w:tc>
        <w:tc>
          <w:tcPr>
            <w:tcW w:type="dxa" w:w="4320"/>
            <w:vAlign w:val="center"/>
          </w:tcPr>
          <w:p>
            <w:r>
              <w:t>Private room chat, request status, and live quest state updates.</w:t>
            </w:r>
          </w:p>
        </w:tc>
      </w:tr>
      <w:tr>
        <w:tc>
          <w:tcPr>
            <w:tcW w:type="dxa" w:w="1512"/>
            <w:vAlign w:val="center"/>
            <w:shd w:fill="F2F5F8"/>
          </w:tcPr>
          <w:p>
            <w:r>
              <w:t>Queue / cache</w:t>
            </w:r>
          </w:p>
        </w:tc>
        <w:tc>
          <w:tcPr>
            <w:tcW w:type="dxa" w:w="3528"/>
            <w:vAlign w:val="center"/>
            <w:shd w:fill="F2F5F8"/>
          </w:tcPr>
          <w:p>
            <w:r>
              <w:t>Redis plus a durable job queue</w:t>
            </w:r>
          </w:p>
        </w:tc>
        <w:tc>
          <w:tcPr>
            <w:tcW w:type="dxa" w:w="4320"/>
            <w:vAlign w:val="center"/>
            <w:shd w:fill="F2F5F8"/>
          </w:tcPr>
          <w:p>
            <w:r>
              <w:t>Notifications, image processing, expiry jobs, rate limits, and retryable work.</w:t>
            </w:r>
          </w:p>
        </w:tc>
      </w:tr>
      <w:tr>
        <w:tc>
          <w:tcPr>
            <w:tcW w:type="dxa" w:w="1512"/>
            <w:vAlign w:val="center"/>
          </w:tcPr>
          <w:p>
            <w:r>
              <w:t>Media</w:t>
            </w:r>
          </w:p>
        </w:tc>
        <w:tc>
          <w:tcPr>
            <w:tcW w:type="dxa" w:w="3528"/>
            <w:vAlign w:val="center"/>
          </w:tcPr>
          <w:p>
            <w:r>
              <w:t>Private object storage with signed upload/download URLs</w:t>
            </w:r>
          </w:p>
        </w:tc>
        <w:tc>
          <w:tcPr>
            <w:tcW w:type="dxa" w:w="4320"/>
            <w:vAlign w:val="center"/>
          </w:tcPr>
          <w:p>
            <w:r>
              <w:t>Photo evidence without routing large files through the API server.</w:t>
            </w:r>
          </w:p>
        </w:tc>
      </w:tr>
      <w:tr>
        <w:tc>
          <w:tcPr>
            <w:tcW w:type="dxa" w:w="1512"/>
            <w:vAlign w:val="center"/>
            <w:shd w:fill="F2F5F8"/>
          </w:tcPr>
          <w:p>
            <w:r>
              <w:t>Operations</w:t>
            </w:r>
          </w:p>
        </w:tc>
        <w:tc>
          <w:tcPr>
            <w:tcW w:type="dxa" w:w="3528"/>
            <w:vAlign w:val="center"/>
            <w:shd w:fill="F2F5F8"/>
          </w:tcPr>
          <w:p>
            <w:r>
              <w:t>Managed hosting, centralized logs, error tracking, backups, alerting</w:t>
            </w:r>
          </w:p>
        </w:tc>
        <w:tc>
          <w:tcPr>
            <w:tcW w:type="dxa" w:w="4320"/>
            <w:vAlign w:val="center"/>
            <w:shd w:fill="F2F5F8"/>
          </w:tcPr>
          <w:p>
            <w:r>
              <w:t>Keep a small team focused on the student product and moderation.</w:t>
            </w:r>
          </w:p>
        </w:tc>
      </w:tr>
    </w:tbl>
    <w:p>
      <w:pPr>
        <w:widowControl/>
        <w:spacing w:after="0"/>
      </w:pPr>
    </w:p>
    <w:p>
      <w:pPr>
        <w:pStyle w:val="Heading2"/>
        <w:keepNext/>
      </w:pPr>
      <w:r>
        <w:t>Backend modules</w:t>
      </w:r>
    </w:p>
    <w:p>
      <w:pPr>
        <w:pStyle w:val="ListBullet"/>
        <w:spacing w:after="40"/>
      </w:pPr>
      <w:r>
        <w:t>Identity and communities: Google/email-password sign-in, an 18+ self-declaration during registration, account recovery, and account standing; Google sign-in is not age verification, session management, profile, and optional community membership.</w:t>
      </w:r>
    </w:p>
    <w:p>
      <w:pPr>
        <w:pStyle w:val="ListBullet"/>
        <w:spacing w:after="40"/>
      </w:pPr>
      <w:r>
        <w:t>Quest: create, search, update, expiry, state transitions, capacity, cancellation, and completion rules.</w:t>
      </w:r>
    </w:p>
    <w:p>
      <w:pPr>
        <w:pStyle w:val="ListBullet"/>
        <w:spacing w:after="40"/>
      </w:pPr>
      <w:r>
        <w:t>Participation: join requests, acceptance decisions, group membership, block checks, and invitations.</w:t>
      </w:r>
    </w:p>
    <w:p>
      <w:pPr>
        <w:pStyle w:val="ListBullet"/>
        <w:spacing w:after="40"/>
      </w:pPr>
      <w:r>
        <w:t>Chat: room authorization, message persistence, realtime delivery, attachment policy, report hooks, retention.</w:t>
      </w:r>
    </w:p>
    <w:p>
      <w:pPr>
        <w:pStyle w:val="ListBullet"/>
        <w:spacing w:after="40"/>
      </w:pPr>
      <w:r>
        <w:t>Media: signed uploads, file type/size validation, malware scanning where available, metadata stripping, private access.</w:t>
      </w:r>
    </w:p>
    <w:p>
      <w:pPr>
        <w:pStyle w:val="ListBullet"/>
        <w:spacing w:after="40"/>
      </w:pPr>
      <w:r>
        <w:t>Points: idempotent award ledger, seasons, caps, reversals, leaderboard snapshots, anomaly flags.</w:t>
      </w:r>
    </w:p>
    <w:p>
      <w:pPr>
        <w:pStyle w:val="ListBullet"/>
        <w:spacing w:after="40"/>
      </w:pPr>
      <w:r>
        <w:t>Trust and safety: reports, cases, moderator actions, content removal, appeals, evidence retention, audit trail.</w:t>
      </w:r>
    </w:p>
    <w:p>
      <w:pPr>
        <w:pStyle w:val="ListBullet"/>
        <w:spacing w:after="40"/>
      </w:pPr>
      <w:r>
        <w:t>Notifications: email and web push preferences, request updates, reminders, and quest expiry notices.</w:t>
      </w:r>
    </w:p>
    <w:p>
      <w:pPr>
        <w:pStyle w:val="Heading2"/>
        <w:keepNext/>
      </w:pPr>
      <w:r>
        <w:t>Core data entities</w:t>
      </w:r>
    </w:p>
    <w:tbl>
      <w:tblPr>
        <w:tblStyle w:val="TableGrid"/>
        <w:tblW w:type="auto" w:w="0"/>
        <w:jc w:val="center"/>
        <w:tblLayout w:type="fixed"/>
        <w:tblLook w:firstColumn="1" w:firstRow="1" w:lastColumn="0" w:lastRow="0" w:noHBand="0" w:noVBand="1" w:val="04A0"/>
      </w:tblPr>
      <w:tblGrid>
        <w:gridCol w:w="4997"/>
        <w:gridCol w:w="4997"/>
      </w:tblGrid>
      <w:tr>
        <w:tc>
          <w:tcPr>
            <w:tcW w:type="dxa" w:w="2376"/>
            <w:vAlign w:val="center"/>
            <w:shd w:fill="16263D"/>
          </w:tcPr>
          <w:p>
            <w:r>
              <w:t>ENTITY</w:t>
            </w:r>
          </w:p>
        </w:tc>
        <w:tc>
          <w:tcPr>
            <w:tcW w:type="dxa" w:w="6984"/>
            <w:vAlign w:val="center"/>
            <w:shd w:fill="16263D"/>
          </w:tcPr>
          <w:p>
            <w:r>
              <w:t>KEY FIELDS / RELATIONSHIPS</w:t>
            </w:r>
          </w:p>
        </w:tc>
      </w:tr>
      <w:tr>
        <w:tc>
          <w:tcPr>
            <w:tcW w:type="dxa" w:w="2376"/>
            <w:vAlign w:val="center"/>
            <w:shd w:fill="F2F5F8"/>
          </w:tcPr>
          <w:p>
            <w:r>
              <w:t>User</w:t>
            </w:r>
          </w:p>
        </w:tc>
        <w:tc>
          <w:tcPr>
            <w:tcW w:type="dxa" w:w="6984"/>
            <w:vAlign w:val="center"/>
            <w:shd w:fill="F2F5F8"/>
          </w:tcPr>
          <w:p>
            <w:r>
              <w:t>id, authentication and account-standing state, display_name, profile fields, status, privacy settings; no student-verification state.</w:t>
            </w:r>
          </w:p>
        </w:tc>
      </w:tr>
      <w:tr>
        <w:tc>
          <w:tcPr>
            <w:tcW w:type="dxa" w:w="2376"/>
            <w:vAlign w:val="center"/>
          </w:tcPr>
          <w:p>
            <w:r>
              <w:t>Optional Community</w:t>
            </w:r>
          </w:p>
        </w:tc>
        <w:tc>
          <w:tcPr>
            <w:tcW w:type="dxa" w:w="6984"/>
            <w:vAlign w:val="center"/>
          </w:tcPr>
          <w:p>
            <w:r>
              <w:t>id, name, visibility, geographic context, timezone, status.</w:t>
            </w:r>
          </w:p>
        </w:tc>
      </w:tr>
      <w:tr>
        <w:tc>
          <w:tcPr>
            <w:tcW w:type="dxa" w:w="2376"/>
            <w:vAlign w:val="center"/>
            <w:shd w:fill="F2F5F8"/>
          </w:tcPr>
          <w:p>
            <w:r>
              <w:t>Quest</w:t>
            </w:r>
          </w:p>
        </w:tc>
        <w:tc>
          <w:tcPr>
            <w:tcW w:type="dxa" w:w="6984"/>
            <w:vAlign w:val="center"/>
            <w:shd w:fill="F2F5F8"/>
          </w:tcPr>
          <w:p>
            <w:r>
              <w:t>id, host_id, type, title, description, point, starts_at, expires_at, location, capacity, state, proof_rule.</w:t>
            </w:r>
          </w:p>
        </w:tc>
      </w:tr>
      <w:tr>
        <w:tc>
          <w:tcPr>
            <w:tcW w:type="dxa" w:w="2376"/>
            <w:vAlign w:val="center"/>
          </w:tcPr>
          <w:p>
            <w:r>
              <w:t>JoinRequest / Participant</w:t>
            </w:r>
          </w:p>
        </w:tc>
        <w:tc>
          <w:tcPr>
            <w:tcW w:type="dxa" w:w="6984"/>
            <w:vAlign w:val="center"/>
          </w:tcPr>
          <w:p>
            <w:r>
              <w:t>quest_id, user_id, status, decision timestamps; unique active membership constraints.</w:t>
            </w:r>
          </w:p>
        </w:tc>
      </w:tr>
      <w:tr>
        <w:tc>
          <w:tcPr>
            <w:tcW w:type="dxa" w:w="2376"/>
            <w:vAlign w:val="center"/>
            <w:shd w:fill="F2F5F8"/>
          </w:tcPr>
          <w:p>
            <w:r>
              <w:t>QuestRoom / Message</w:t>
            </w:r>
          </w:p>
        </w:tc>
        <w:tc>
          <w:tcPr>
            <w:tcW w:type="dxa" w:w="6984"/>
            <w:vAlign w:val="center"/>
            <w:shd w:fill="F2F5F8"/>
          </w:tcPr>
          <w:p>
            <w:r>
              <w:t>quest_id, authorized members, message author, body/media refs, created_at, moderation state.</w:t>
            </w:r>
          </w:p>
        </w:tc>
      </w:tr>
      <w:tr>
        <w:tc>
          <w:tcPr>
            <w:tcW w:type="dxa" w:w="2376"/>
            <w:vAlign w:val="center"/>
          </w:tcPr>
          <w:p>
            <w:r>
              <w:t>Evidence</w:t>
            </w:r>
          </w:p>
        </w:tc>
        <w:tc>
          <w:tcPr>
            <w:tcW w:type="dxa" w:w="6984"/>
            <w:vAlign w:val="center"/>
          </w:tcPr>
          <w:p>
            <w:r>
              <w:t>quest_id, uploader_id, private object key, consent, proof type, review state, retention deadline.</w:t>
            </w:r>
          </w:p>
        </w:tc>
      </w:tr>
      <w:tr>
        <w:tc>
          <w:tcPr>
            <w:tcW w:type="dxa" w:w="2376"/>
            <w:vAlign w:val="center"/>
            <w:shd w:fill="F2F5F8"/>
          </w:tcPr>
          <w:p>
            <w:r>
              <w:t>PointLedger / Season</w:t>
            </w:r>
          </w:p>
        </w:tc>
        <w:tc>
          <w:tcPr>
            <w:tcW w:type="dxa" w:w="6984"/>
            <w:vAlign w:val="center"/>
            <w:shd w:fill="F2F5F8"/>
          </w:tcPr>
          <w:p>
            <w:r>
              <w:t>user_id, quest_id, delta, reason, idempotency_key, season_id, created_at.</w:t>
            </w:r>
          </w:p>
        </w:tc>
      </w:tr>
      <w:tr>
        <w:tc>
          <w:tcPr>
            <w:tcW w:type="dxa" w:w="2376"/>
            <w:vAlign w:val="center"/>
          </w:tcPr>
          <w:p>
            <w:r>
              <w:t>Report / ModerationAction</w:t>
            </w:r>
          </w:p>
        </w:tc>
        <w:tc>
          <w:tcPr>
            <w:tcW w:type="dxa" w:w="6984"/>
            <w:vAlign w:val="center"/>
          </w:tcPr>
          <w:p>
            <w:r>
              <w:t>reporter, target, category, case state, assigned moderator, action, reason, audit timestamps.</w:t>
            </w:r>
          </w:p>
        </w:tc>
      </w:tr>
    </w:tbl>
    <w:p>
      <w:pPr>
        <w:widowControl/>
        <w:spacing w:after="0"/>
      </w:pPr>
    </w:p>
    <w:p>
      <w:pPr>
        <w:pStyle w:val="Heading2"/>
        <w:keepNext/>
      </w:pPr>
      <w:r>
        <w:t>Important implementation rules</w:t>
      </w:r>
    </w:p>
    <w:p>
      <w:pPr>
        <w:pStyle w:val="ListBullet"/>
        <w:spacing w:after="40"/>
      </w:pPr>
      <w:r>
        <w:t>Enforce state changes on the server with explicit transition rules; clients cannot award points or mark quests complete directly.</w:t>
      </w:r>
    </w:p>
    <w:p>
      <w:pPr>
        <w:pStyle w:val="ListBullet"/>
        <w:spacing w:after="40"/>
      </w:pPr>
      <w:r>
        <w:t>Use database transactions and idempotency keys for acceptance, completion, and point awards to prevent duplicates under retries.</w:t>
      </w:r>
    </w:p>
    <w:p>
      <w:pPr>
        <w:pStyle w:val="ListBullet"/>
        <w:spacing w:after="40"/>
      </w:pPr>
      <w:r>
        <w:t>Authorize every room read and message send by active quest membership; do not rely on obscurity of room IDs.</w:t>
      </w:r>
    </w:p>
    <w:p>
      <w:pPr>
        <w:pStyle w:val="ListBullet"/>
        <w:spacing w:after="40"/>
      </w:pPr>
      <w:r>
        <w:t>Use geospatial indexes for quest pins; return rounded or approximate coordinates where precise coordinates are unnecessary.</w:t>
      </w:r>
    </w:p>
    <w:p>
      <w:pPr>
        <w:pStyle w:val="ListBullet"/>
        <w:spacing w:after="40"/>
      </w:pPr>
      <w:r>
        <w:t>Store timestamps in UTC and render them in the relevant local timezone. Define geographic launch areas and their timezones.</w:t>
      </w:r>
    </w:p>
    <w:p>
      <w:pPr>
        <w:pStyle w:val="ListBullet"/>
        <w:spacing w:after="40"/>
      </w:pPr>
      <w:r>
        <w:t>Keep an audit trail for moderation and point changes, without exposing staff notes to ordinary users.</w:t>
      </w:r>
    </w:p>
    <w:p>
      <w:pPr>
        <w:pStyle w:val="Heading1"/>
        <w:keepNext/>
      </w:pPr>
      <w:r>
        <w:t>8. Example APIs and key flows</w:t>
      </w:r>
    </w:p>
    <w:tbl>
      <w:tblPr>
        <w:tblStyle w:val="TableGrid"/>
        <w:tblW w:type="auto" w:w="0"/>
        <w:jc w:val="center"/>
        <w:tblLayout w:type="fixed"/>
        <w:tblLook w:firstColumn="1" w:firstRow="1" w:lastColumn="0" w:lastRow="0" w:noHBand="0" w:noVBand="1" w:val="04A0"/>
      </w:tblPr>
      <w:tblGrid>
        <w:gridCol w:w="4997"/>
        <w:gridCol w:w="4997"/>
      </w:tblGrid>
      <w:tr>
        <w:tc>
          <w:tcPr>
            <w:tcW w:type="dxa" w:w="3600"/>
            <w:vAlign w:val="center"/>
            <w:shd w:fill="16263D"/>
          </w:tcPr>
          <w:p>
            <w:r>
              <w:t>ENDPOINT / EVENT</w:t>
            </w:r>
          </w:p>
        </w:tc>
        <w:tc>
          <w:tcPr>
            <w:tcW w:type="dxa" w:w="5760"/>
            <w:vAlign w:val="center"/>
            <w:shd w:fill="16263D"/>
          </w:tcPr>
          <w:p>
            <w:r>
              <w:t>PURPOSE</w:t>
            </w:r>
          </w:p>
        </w:tc>
      </w:tr>
      <w:tr>
        <w:tc>
          <w:tcPr>
            <w:tcW w:type="dxa" w:w="3600"/>
            <w:vAlign w:val="center"/>
            <w:shd w:fill="F2F5F8"/>
          </w:tcPr>
          <w:p>
            <w:r>
              <w:t>POST /v1/quests</w:t>
            </w:r>
          </w:p>
        </w:tc>
        <w:tc>
          <w:tcPr>
            <w:tcW w:type="dxa" w:w="5760"/>
            <w:vAlign w:val="center"/>
            <w:shd w:fill="F2F5F8"/>
          </w:tcPr>
          <w:p>
            <w:r>
              <w:t>Create and validate a quest; server sets initial state and expiration.</w:t>
            </w:r>
          </w:p>
        </w:tc>
      </w:tr>
      <w:tr>
        <w:tc>
          <w:tcPr>
            <w:tcW w:type="dxa" w:w="3600"/>
            <w:vAlign w:val="center"/>
          </w:tcPr>
          <w:p>
            <w:r>
              <w:t>GET /v1/quests?near=...</w:t>
            </w:r>
          </w:p>
        </w:tc>
        <w:tc>
          <w:tcPr>
            <w:tcW w:type="dxa" w:w="5760"/>
            <w:vAlign w:val="center"/>
          </w:tcPr>
          <w:p>
            <w:r>
              <w:t>Search active quests by geographic area, radius, category, time, and availability.</w:t>
            </w:r>
          </w:p>
        </w:tc>
      </w:tr>
      <w:tr>
        <w:tc>
          <w:tcPr>
            <w:tcW w:type="dxa" w:w="3600"/>
            <w:vAlign w:val="center"/>
            <w:shd w:fill="F2F5F8"/>
          </w:tcPr>
          <w:p>
            <w:r>
              <w:t>POST /v1/quests/{id}/join-requests</w:t>
            </w:r>
          </w:p>
        </w:tc>
        <w:tc>
          <w:tcPr>
            <w:tcW w:type="dxa" w:w="5760"/>
            <w:vAlign w:val="center"/>
            <w:shd w:fill="F2F5F8"/>
          </w:tcPr>
          <w:p>
            <w:r>
              <w:t>Submit a join request after block, membership, expiry, and capacity checks.</w:t>
            </w:r>
          </w:p>
        </w:tc>
      </w:tr>
      <w:tr>
        <w:tc>
          <w:tcPr>
            <w:tcW w:type="dxa" w:w="3600"/>
            <w:vAlign w:val="center"/>
          </w:tcPr>
          <w:p>
            <w:r>
              <w:t>POST /v1/quests/{id}/requests/{requestId}/accept</w:t>
            </w:r>
          </w:p>
        </w:tc>
        <w:tc>
          <w:tcPr>
            <w:tcW w:type="dxa" w:w="5760"/>
            <w:vAlign w:val="center"/>
          </w:tcPr>
          <w:p>
            <w:r>
              <w:t>Accept atomically; enforce capacity; create authorized room membership.</w:t>
            </w:r>
          </w:p>
        </w:tc>
      </w:tr>
      <w:tr>
        <w:tc>
          <w:tcPr>
            <w:tcW w:type="dxa" w:w="3600"/>
            <w:vAlign w:val="center"/>
            <w:shd w:fill="F2F5F8"/>
          </w:tcPr>
          <w:p>
            <w:r>
              <w:t>POST /v1/quests/{id}/evidence</w:t>
            </w:r>
          </w:p>
        </w:tc>
        <w:tc>
          <w:tcPr>
            <w:tcW w:type="dxa" w:w="5760"/>
            <w:vAlign w:val="center"/>
            <w:shd w:fill="F2F5F8"/>
          </w:tcPr>
          <w:p>
            <w:r>
              <w:t>Create a private upload session and attach evidence to the quest.</w:t>
            </w:r>
          </w:p>
        </w:tc>
      </w:tr>
      <w:tr>
        <w:tc>
          <w:tcPr>
            <w:tcW w:type="dxa" w:w="3600"/>
            <w:vAlign w:val="center"/>
          </w:tcPr>
          <w:p>
            <w:r>
              <w:t>POST /v1/quests/{id}/complete</w:t>
            </w:r>
          </w:p>
        </w:tc>
        <w:tc>
          <w:tcPr>
            <w:tcW w:type="dxa" w:w="5760"/>
            <w:vAlign w:val="center"/>
          </w:tcPr>
          <w:p>
            <w:r>
              <w:t>Validate proof rule, apply completion transition, and issue idempotent point entries.</w:t>
            </w:r>
          </w:p>
        </w:tc>
      </w:tr>
      <w:tr>
        <w:tc>
          <w:tcPr>
            <w:tcW w:type="dxa" w:w="3600"/>
            <w:vAlign w:val="center"/>
            <w:shd w:fill="F2F5F8"/>
          </w:tcPr>
          <w:p>
            <w:r>
              <w:t>POST /v1/reports</w:t>
            </w:r>
          </w:p>
        </w:tc>
        <w:tc>
          <w:tcPr>
            <w:tcW w:type="dxa" w:w="5760"/>
            <w:vAlign w:val="center"/>
            <w:shd w:fill="F2F5F8"/>
          </w:tcPr>
          <w:p>
            <w:r>
              <w:t>Create a report and route it to the moderation queue.</w:t>
            </w:r>
          </w:p>
        </w:tc>
      </w:tr>
      <w:tr>
        <w:tc>
          <w:tcPr>
            <w:tcW w:type="dxa" w:w="3600"/>
            <w:vAlign w:val="center"/>
          </w:tcPr>
          <w:p>
            <w:r>
              <w:t>WebSocket quest.room.{id}</w:t>
            </w:r>
          </w:p>
        </w:tc>
        <w:tc>
          <w:tcPr>
            <w:tcW w:type="dxa" w:w="5760"/>
            <w:vAlign w:val="center"/>
          </w:tcPr>
          <w:p>
            <w:r>
              <w:t>Deliver authorized chat messages and quest state updates to room members.</w:t>
            </w:r>
          </w:p>
        </w:tc>
      </w:tr>
    </w:tbl>
    <w:p>
      <w:pPr>
        <w:widowControl/>
        <w:spacing w:after="0"/>
      </w:pPr>
    </w:p>
    <w:p>
      <w:pPr>
        <w:pStyle w:val="Heading2"/>
        <w:keepNext/>
      </w:pPr>
      <w:r>
        <w:t>Completion flow</w:t>
      </w:r>
    </w:p>
    <w:p>
      <w:pPr>
        <w:pStyle w:val="ListNumber"/>
        <w:spacing w:after="60"/>
      </w:pPr>
      <w:r>
        <w:t>Poster uploads chosen proof using a short-lived signed URL. The server validates type, size, and quest membership; image processing strips metadata.</w:t>
      </w:r>
    </w:p>
    <w:p>
      <w:pPr>
        <w:pStyle w:val="ListNumber"/>
        <w:spacing w:after="60"/>
      </w:pPr>
      <w:r>
        <w:t>Quest enters completion-pending state and participants receive a prompt. Sensitive evidence remains private to the room and moderators.</w:t>
      </w:r>
    </w:p>
    <w:p>
      <w:pPr>
        <w:pStyle w:val="ListNumber"/>
        <w:spacing w:after="60"/>
      </w:pPr>
      <w:r>
        <w:t>If there is no dispute within the configured review window, or required confirmations are received, the server closes the quest and posts ledger awards exactly once.</w:t>
      </w:r>
    </w:p>
    <w:p>
      <w:pPr>
        <w:pStyle w:val="ListNumber"/>
        <w:spacing w:after="60"/>
      </w:pPr>
      <w:r>
        <w:t>A dispute creates a moderator case; points remain pending or are withheld until resolved. Every manual adjustment records a reason.</w:t>
      </w:r>
    </w:p>
    <w:p>
      <w:pPr>
        <w:pStyle w:val="Heading2"/>
        <w:keepNext/>
      </w:pPr>
      <w:r>
        <w:t>Notifications</w:t>
      </w:r>
    </w:p>
    <w:p>
      <w:pPr>
        <w:widowControl/>
      </w:pPr>
      <w:r>
        <w:t>Send only useful, user-configurable notifications: join request received, request accepted, new room message, time/location change, upcoming start, completion confirmation needed, report outcome, and season ending. Add quiet hours and avoid alerting users about sensitive profile or location activity.</w:t>
      </w:r>
    </w:p>
    <w:p>
      <w:pPr>
        <w:pStyle w:val="Heading1"/>
        <w:keepNext/>
      </w:pPr>
      <w:r>
        <w:t>9. Delivery roadmap</w:t>
      </w:r>
    </w:p>
    <w:tbl>
      <w:tblPr>
        <w:tblStyle w:val="TableGrid"/>
        <w:tblW w:type="auto" w:w="0"/>
        <w:jc w:val="center"/>
        <w:tblLayout w:type="fixed"/>
        <w:tblLook w:firstColumn="1" w:firstRow="1" w:lastColumn="0" w:lastRow="0" w:noHBand="0" w:noVBand="1" w:val="04A0"/>
      </w:tblPr>
      <w:tblGrid>
        <w:gridCol w:w="3331"/>
        <w:gridCol w:w="3331"/>
        <w:gridCol w:w="3331"/>
      </w:tblGrid>
      <w:tr>
        <w:tc>
          <w:tcPr>
            <w:tcW w:type="dxa" w:w="1872"/>
            <w:vAlign w:val="center"/>
            <w:shd w:fill="16263D"/>
          </w:tcPr>
          <w:p>
            <w:r>
              <w:t>PHASE</w:t>
            </w:r>
          </w:p>
        </w:tc>
        <w:tc>
          <w:tcPr>
            <w:tcW w:type="dxa" w:w="4608"/>
            <w:vAlign w:val="center"/>
            <w:shd w:fill="16263D"/>
          </w:tcPr>
          <w:p>
            <w:r>
              <w:t>WORK</w:t>
            </w:r>
          </w:p>
        </w:tc>
        <w:tc>
          <w:tcPr>
            <w:tcW w:type="dxa" w:w="2880"/>
            <w:vAlign w:val="center"/>
            <w:shd w:fill="16263D"/>
          </w:tcPr>
          <w:p>
            <w:r>
              <w:t>EXIT CHECK</w:t>
            </w:r>
          </w:p>
        </w:tc>
      </w:tr>
      <w:tr>
        <w:tc>
          <w:tcPr>
            <w:tcW w:type="dxa" w:w="1872"/>
            <w:vAlign w:val="center"/>
            <w:shd w:fill="F2F5F8"/>
          </w:tcPr>
          <w:p>
            <w:r>
              <w:t>1. Discovery</w:t>
            </w:r>
          </w:p>
        </w:tc>
        <w:tc>
          <w:tcPr>
            <w:tcW w:type="dxa" w:w="4608"/>
            <w:vAlign w:val="center"/>
            <w:shd w:fill="F2F5F8"/>
          </w:tcPr>
          <w:p>
            <w:r>
              <w:t>Confirm the independent operating model, public-place criteria, age/privacy/safety requirements, moderator coverage, and pilot measures. Document unresolved decisions and owners; do not recruit a live pilot cohort yet.</w:t>
            </w:r>
          </w:p>
        </w:tc>
        <w:tc>
          <w:tcPr>
            <w:tcW w:type="dxa" w:w="2880"/>
            <w:vAlign w:val="center"/>
            <w:shd w:fill="F2F5F8"/>
          </w:tcPr>
          <w:p>
            <w:r>
              <w:t>CP1 launch requirements and owners are documented; production and real-user use remain closed until required approvals are complete.</w:t>
            </w:r>
          </w:p>
        </w:tc>
      </w:tr>
      <w:tr>
        <w:tc>
          <w:tcPr>
            <w:tcW w:type="dxa" w:w="1872"/>
            <w:vAlign w:val="center"/>
          </w:tcPr>
          <w:p>
            <w:r>
              <w:t>2. Complete frontend and backend build</w:t>
            </w:r>
          </w:p>
        </w:tc>
        <w:tc>
          <w:tcPr>
            <w:tcW w:type="dxa" w:w="4608"/>
            <w:vAlign w:val="center"/>
          </w:tcPr>
          <w:p>
            <w:r>
              <w:t>Complete frontend and backend build: identity, discovery, quest lifecycle, chat, completion, points, reporting, moderation console, responsive states, and operations. Use synthetic data in development/staging.</w:t>
            </w:r>
          </w:p>
        </w:tc>
        <w:tc>
          <w:tcPr>
            <w:tcW w:type="dxa" w:w="2880"/>
            <w:vAlign w:val="center"/>
          </w:tcPr>
          <w:p>
            <w:r>
              <w:t>The complete website works end to end in a controlled environment; internal acceptance and security checks pass.</w:t>
            </w:r>
          </w:p>
        </w:tc>
      </w:tr>
      <w:tr>
        <w:tc>
          <w:tcPr>
            <w:tcW w:type="dxa" w:w="1872"/>
            <w:vAlign w:val="center"/>
            <w:shd w:fill="F2F5F8"/>
          </w:tcPr>
          <w:p>
            <w:r>
              <w:t>3. Test with people and iterate</w:t>
            </w:r>
          </w:p>
        </w:tc>
        <w:tc>
          <w:tcPr>
            <w:tcW w:type="dxa" w:w="4608"/>
            <w:vAlign w:val="center"/>
            <w:shd w:fill="F2F5F8"/>
          </w:tcPr>
          <w:p>
            <w:r>
              <w:t>Test the integrated site with five adult students from at least two institutions; record task outcomes; implement accepted usability, accessibility, and safety improvements; re-check changed flows.</w:t>
            </w:r>
          </w:p>
        </w:tc>
        <w:tc>
          <w:tcPr>
            <w:tcW w:type="dxa" w:w="2880"/>
            <w:vAlign w:val="center"/>
            <w:shd w:fill="F2F5F8"/>
          </w:tcPr>
          <w:p>
            <w:r>
              <w:t>The product owner accepts the findings, priority fixes, and revised site before pilot readiness.</w:t>
            </w:r>
          </w:p>
        </w:tc>
      </w:tr>
      <w:tr>
        <w:tc>
          <w:tcPr>
            <w:tcW w:type="dxa" w:w="1872"/>
            <w:vAlign w:val="center"/>
          </w:tcPr>
          <w:p>
            <w:r>
              <w:t>4. Closed local pilot</w:t>
            </w:r>
          </w:p>
        </w:tc>
        <w:tc>
          <w:tcPr>
            <w:tcW w:type="dxa" w:w="4608"/>
            <w:vAlign w:val="center"/>
          </w:tcPr>
          <w:p>
            <w:r>
              <w:t>Run an approved four-week invite-only pilot for up to 20 adults in Dubai Academic City after CP1 release gates and user-test fixes are accepted.</w:t>
            </w:r>
          </w:p>
        </w:tc>
        <w:tc>
          <w:tcPr>
            <w:tcW w:type="dxa" w:w="2880"/>
            <w:vAlign w:val="center"/>
          </w:tcPr>
          <w:p>
            <w:r>
              <w:t>Safety, moderation, completion, and reliability remain within approved thresholds; product owner decides stop, iterate, extend, or prepare expansion.</w:t>
            </w:r>
          </w:p>
        </w:tc>
      </w:tr>
      <w:tr>
        <w:tc>
          <w:tcPr>
            <w:tcW w:type="dxa" w:w="1872"/>
            <w:vAlign w:val="center"/>
            <w:shd w:fill="F2F5F8"/>
          </w:tcPr>
          <w:p>
            <w:r>
              <w:t>5. Iterate and expand</w:t>
            </w:r>
          </w:p>
        </w:tc>
        <w:tc>
          <w:tcPr>
            <w:tcW w:type="dxa" w:w="4608"/>
            <w:vAlign w:val="center"/>
            <w:shd w:fill="F2F5F8"/>
          </w:tcPr>
          <w:p>
            <w:r>
              <w:t>Apply pilot evidence and consider expansion to another area only after operating, moderation, venue, and privacy controls can be repeated.</w:t>
            </w:r>
          </w:p>
        </w:tc>
        <w:tc>
          <w:tcPr>
            <w:tcW w:type="dxa" w:w="2880"/>
            <w:vAlign w:val="center"/>
            <w:shd w:fill="F2F5F8"/>
          </w:tcPr>
          <w:p>
            <w:r>
              <w:t>A documented scope and readiness decision supports expansion or a deliberate hold.</w:t>
            </w:r>
          </w:p>
        </w:tc>
      </w:tr>
    </w:tbl>
    <w:p>
      <w:pPr>
        <w:widowControl/>
        <w:spacing w:after="0"/>
      </w:pPr>
    </w:p>
    <w:p>
      <w:pPr>
        <w:pStyle w:val="Heading2"/>
        <w:keepNext/>
      </w:pPr>
      <w:r>
        <w:t>Build order</w:t>
      </w:r>
    </w:p>
    <w:p>
      <w:pPr>
        <w:pStyle w:val="ListNumber"/>
        <w:spacing w:after="60"/>
      </w:pPr>
      <w:r>
        <w:t>Google/email-password authentication, account recovery and standing, optional community membership, profiles, and reporting/blocking foundation.</w:t>
      </w:r>
    </w:p>
    <w:p>
      <w:pPr>
        <w:pStyle w:val="ListNumber"/>
        <w:spacing w:after="60"/>
      </w:pPr>
      <w:r>
        <w:t>Quest creation, map/list search, join requests, acceptance, and capacity enforcement.</w:t>
      </w:r>
    </w:p>
    <w:p>
      <w:pPr>
        <w:pStyle w:val="ListNumber"/>
        <w:spacing w:after="60"/>
      </w:pPr>
      <w:r>
        <w:t>Private chat rooms with membership authorization and moderation tools.</w:t>
      </w:r>
    </w:p>
    <w:p>
      <w:pPr>
        <w:pStyle w:val="ListNumber"/>
        <w:spacing w:after="60"/>
      </w:pPr>
      <w:r>
        <w:t>Completion confirmation, proof storage, points ledger, and seasonal top-10 view.</w:t>
      </w:r>
    </w:p>
    <w:p>
      <w:pPr>
        <w:pStyle w:val="ListNumber"/>
        <w:spacing w:after="60"/>
      </w:pPr>
      <w:r>
        <w:t>Notifications, analytics, accessibility refinement, admin operations, and pilot hardening.</w:t>
      </w:r>
    </w:p>
    <w:p>
      <w:pPr>
        <w:widowControl/>
      </w:pPr>
      <w:r>
        <w:br w:type="page"/>
      </w:r>
    </w:p>
    <w:p>
      <w:pPr>
        <w:pStyle w:val="Heading1"/>
        <w:keepNext/>
      </w:pPr>
      <w:r>
        <w:t>10. Success measures and operating model</w:t>
      </w:r>
    </w:p>
    <w:p>
      <w:pPr>
        <w:pStyle w:val="Heading2"/>
        <w:keepNext/>
      </w:pPr>
      <w:r>
        <w:t>North-star measure</w:t>
      </w:r>
    </w:p>
    <w:tbl>
      <w:tblPr>
        <w:tblW w:type="auto" w:w="0"/>
        <w:jc w:val="center"/>
        <w:tblLook w:firstColumn="1" w:firstRow="1" w:lastColumn="0" w:lastRow="0" w:noHBand="0" w:noVBand="1" w:val="04A0"/>
      </w:tblPr>
      <w:tblGrid>
        <w:gridCol w:w="9994"/>
      </w:tblGrid>
      <w:tr>
        <w:tc>
          <w:tcPr>
            <w:tcW w:type="dxa" w:w="9994"/>
            <w:shd w:fill="E5F3F0"/>
          </w:tcPr>
          <w:p>
            <w:r>
              <w:t>NORTH STAR  Weekly completed quests with at least two distinct students, reported per active launch area or optional community.</w:t>
            </w:r>
          </w:p>
        </w:tc>
      </w:tr>
    </w:tbl>
    <w:p>
      <w:pPr>
        <w:widowControl/>
        <w:spacing w:after="0"/>
      </w:pPr>
    </w:p>
    <w:p>
      <w:pPr>
        <w:widowControl/>
      </w:pPr>
      <w:r>
        <w:t>This measure tracks the product’s core job: helping people make useful local connections, with students as a core audience. Pair it with quality and safety metrics so the team does not optimize for volume at the expense of trust.</w:t>
      </w:r>
    </w:p>
    <w:tbl>
      <w:tblPr>
        <w:tblStyle w:val="TableGrid"/>
        <w:tblW w:type="auto" w:w="0"/>
        <w:jc w:val="center"/>
        <w:tblLayout w:type="fixed"/>
        <w:tblLook w:firstColumn="1" w:firstRow="1" w:lastColumn="0" w:lastRow="0" w:noHBand="0" w:noVBand="1" w:val="04A0"/>
      </w:tblPr>
      <w:tblGrid>
        <w:gridCol w:w="4997"/>
        <w:gridCol w:w="4997"/>
      </w:tblGrid>
      <w:tr>
        <w:tc>
          <w:tcPr>
            <w:tcW w:type="dxa" w:w="2592"/>
            <w:vAlign w:val="center"/>
            <w:shd w:fill="16263D"/>
          </w:tcPr>
          <w:p>
            <w:r>
              <w:t>MEASURE</w:t>
            </w:r>
          </w:p>
        </w:tc>
        <w:tc>
          <w:tcPr>
            <w:tcW w:type="dxa" w:w="6768"/>
            <w:vAlign w:val="center"/>
            <w:shd w:fill="16263D"/>
          </w:tcPr>
          <w:p>
            <w:r>
              <w:t>WHAT IT TELLS US</w:t>
            </w:r>
          </w:p>
        </w:tc>
      </w:tr>
      <w:tr>
        <w:tc>
          <w:tcPr>
            <w:tcW w:type="dxa" w:w="2592"/>
            <w:vAlign w:val="center"/>
            <w:shd w:fill="F2F5F8"/>
          </w:tcPr>
          <w:p>
            <w:r>
              <w:t>Activation</w:t>
            </w:r>
          </w:p>
        </w:tc>
        <w:tc>
          <w:tcPr>
            <w:tcW w:type="dxa" w:w="6768"/>
            <w:vAlign w:val="center"/>
            <w:shd w:fill="F2F5F8"/>
          </w:tcPr>
          <w:p>
            <w:r>
              <w:t>New account holders who view, post, or request a quest within seven days of account creation.</w:t>
            </w:r>
          </w:p>
        </w:tc>
      </w:tr>
      <w:tr>
        <w:tc>
          <w:tcPr>
            <w:tcW w:type="dxa" w:w="2592"/>
            <w:vAlign w:val="center"/>
          </w:tcPr>
          <w:p>
            <w:r>
              <w:t>Join conversion</w:t>
            </w:r>
          </w:p>
        </w:tc>
        <w:tc>
          <w:tcPr>
            <w:tcW w:type="dxa" w:w="6768"/>
            <w:vAlign w:val="center"/>
          </w:tcPr>
          <w:p>
            <w:r>
              <w:t>Share of eligible quest views that produce a join request and acceptance.</w:t>
            </w:r>
          </w:p>
        </w:tc>
      </w:tr>
      <w:tr>
        <w:tc>
          <w:tcPr>
            <w:tcW w:type="dxa" w:w="2592"/>
            <w:vAlign w:val="center"/>
            <w:shd w:fill="F2F5F8"/>
          </w:tcPr>
          <w:p>
            <w:r>
              <w:t>Completion rate</w:t>
            </w:r>
          </w:p>
        </w:tc>
        <w:tc>
          <w:tcPr>
            <w:tcW w:type="dxa" w:w="6768"/>
            <w:vAlign w:val="center"/>
            <w:shd w:fill="F2F5F8"/>
          </w:tcPr>
          <w:p>
            <w:r>
              <w:t>Share of accepted quests that are completed, versus cancelled, expired, or disputed.</w:t>
            </w:r>
          </w:p>
        </w:tc>
      </w:tr>
      <w:tr>
        <w:tc>
          <w:tcPr>
            <w:tcW w:type="dxa" w:w="2592"/>
            <w:vAlign w:val="center"/>
          </w:tcPr>
          <w:p>
            <w:r>
              <w:t>Time to first connection</w:t>
            </w:r>
          </w:p>
        </w:tc>
        <w:tc>
          <w:tcPr>
            <w:tcW w:type="dxa" w:w="6768"/>
            <w:vAlign w:val="center"/>
          </w:tcPr>
          <w:p>
            <w:r>
              <w:t>Time from account creation to first accepted and completed quest.</w:t>
            </w:r>
          </w:p>
        </w:tc>
      </w:tr>
      <w:tr>
        <w:tc>
          <w:tcPr>
            <w:tcW w:type="dxa" w:w="2592"/>
            <w:vAlign w:val="center"/>
            <w:shd w:fill="F2F5F8"/>
          </w:tcPr>
          <w:p>
            <w:r>
              <w:t>Repeat participation</w:t>
            </w:r>
          </w:p>
        </w:tc>
        <w:tc>
          <w:tcPr>
            <w:tcW w:type="dxa" w:w="6768"/>
            <w:vAlign w:val="center"/>
            <w:shd w:fill="F2F5F8"/>
          </w:tcPr>
          <w:p>
            <w:r>
              <w:t>Account holders who complete another quest in a later week or season.</w:t>
            </w:r>
          </w:p>
        </w:tc>
      </w:tr>
      <w:tr>
        <w:tc>
          <w:tcPr>
            <w:tcW w:type="dxa" w:w="2592"/>
            <w:vAlign w:val="center"/>
          </w:tcPr>
          <w:p>
            <w:r>
              <w:t>Safety rate</w:t>
            </w:r>
          </w:p>
        </w:tc>
        <w:tc>
          <w:tcPr>
            <w:tcW w:type="dxa" w:w="6768"/>
            <w:vAlign w:val="center"/>
          </w:tcPr>
          <w:p>
            <w:r>
              <w:t>Reports per 1,000 active quests, severity, response time, and repeat offender rate.</w:t>
            </w:r>
          </w:p>
        </w:tc>
      </w:tr>
      <w:tr>
        <w:tc>
          <w:tcPr>
            <w:tcW w:type="dxa" w:w="2592"/>
            <w:vAlign w:val="center"/>
            <w:shd w:fill="F2F5F8"/>
          </w:tcPr>
          <w:p>
            <w:r>
              <w:t>Fairness</w:t>
            </w:r>
          </w:p>
        </w:tc>
        <w:tc>
          <w:tcPr>
            <w:tcW w:type="dxa" w:w="6768"/>
            <w:vAlign w:val="center"/>
            <w:shd w:fill="F2F5F8"/>
          </w:tcPr>
          <w:p>
            <w:r>
              <w:t>Distribution of points and accepted requests across account holders, quest types, and newcomer status.</w:t>
            </w:r>
          </w:p>
        </w:tc>
      </w:tr>
      <w:tr>
        <w:tc>
          <w:tcPr>
            <w:tcW w:type="dxa" w:w="2592"/>
            <w:vAlign w:val="center"/>
          </w:tcPr>
          <w:p>
            <w:r>
              <w:t>Reliability</w:t>
            </w:r>
          </w:p>
        </w:tc>
        <w:tc>
          <w:tcPr>
            <w:tcW w:type="dxa" w:w="6768"/>
            <w:vAlign w:val="center"/>
          </w:tcPr>
          <w:p>
            <w:r>
              <w:t>Chat and upload failures, map search latency, notification delivery, and uptime.</w:t>
            </w:r>
          </w:p>
        </w:tc>
      </w:tr>
    </w:tbl>
    <w:p>
      <w:pPr>
        <w:widowControl/>
        <w:spacing w:after="0"/>
      </w:pPr>
    </w:p>
    <w:p>
      <w:pPr>
        <w:pStyle w:val="Heading2"/>
        <w:keepNext/>
      </w:pPr>
      <w:r>
        <w:t>People and operations for a pilot</w:t>
      </w:r>
    </w:p>
    <w:p>
      <w:pPr>
        <w:pStyle w:val="ListBullet"/>
        <w:spacing w:after="40"/>
      </w:pPr>
      <w:r>
        <w:t>Product owner: student research, launch-area scope, policy, and success metric review.</w:t>
      </w:r>
    </w:p>
    <w:p>
      <w:pPr>
        <w:pStyle w:val="ListBullet"/>
        <w:spacing w:after="40"/>
      </w:pPr>
      <w:r>
        <w:t>Full-stack engineer or small team: app, API, database, realtime, and operations.</w:t>
      </w:r>
    </w:p>
    <w:p>
      <w:pPr>
        <w:pStyle w:val="ListBullet"/>
        <w:spacing w:after="40"/>
      </w:pPr>
      <w:r>
        <w:t>The product owner is initial moderator and will handle reports when available. Name a backup, publish actual service hours and response target, define urgent escalation and appeals, and pause new posting whenever coverage is unavailable.</w:t>
      </w:r>
    </w:p>
    <w:p>
      <w:pPr>
        <w:pStyle w:val="ListBullet"/>
        <w:spacing w:after="40"/>
      </w:pPr>
      <w:r>
        <w:t>Local operating advisor (optional): verify venue rules and escalation contacts; the product does not depend on a university contact.</w:t>
      </w:r>
    </w:p>
    <w:p>
      <w:pPr>
        <w:pStyle w:val="Heading2"/>
        <w:keepNext/>
      </w:pPr>
      <w:r>
        <w:t>Business and sustainability</w:t>
      </w:r>
    </w:p>
    <w:p>
      <w:pPr>
        <w:widowControl/>
      </w:pPr>
      <w:r>
        <w:t>Treat the first open-access local pilot as a learning stage rather than an advertising business. Recruit students across institutions as a core audience while allowing other eligible local account holders to participate. If the product earns trust and shows repeat use, explore optional partnerships, student-group tools, or clearly labeled sponsored activities. Do not sell precise location data or make users pay to rank higher, get accepted, or access basic safety tools.</w:t>
      </w:r>
    </w:p>
    <w:p>
      <w:pPr>
        <w:pStyle w:val="Heading1"/>
        <w:keepNext/>
      </w:pPr>
      <w:r>
        <w:t>11. Risks and open decisions</w:t>
      </w:r>
    </w:p>
    <w:tbl>
      <w:tblPr>
        <w:tblStyle w:val="TableGrid"/>
        <w:tblW w:type="auto" w:w="0"/>
        <w:jc w:val="center"/>
        <w:tblLayout w:type="fixed"/>
        <w:tblLook w:firstColumn="1" w:firstRow="1" w:lastColumn="0" w:lastRow="0" w:noHBand="0" w:noVBand="1" w:val="04A0"/>
      </w:tblPr>
      <w:tblGrid>
        <w:gridCol w:w="4997"/>
        <w:gridCol w:w="4997"/>
      </w:tblGrid>
      <w:tr>
        <w:tc>
          <w:tcPr>
            <w:tcW w:type="dxa" w:w="2880"/>
            <w:vAlign w:val="center"/>
            <w:shd w:fill="16263D"/>
          </w:tcPr>
          <w:p>
            <w:r>
              <w:t>RISK</w:t>
            </w:r>
          </w:p>
        </w:tc>
        <w:tc>
          <w:tcPr>
            <w:tcW w:type="dxa" w:w="6480"/>
            <w:vAlign w:val="center"/>
            <w:shd w:fill="16263D"/>
          </w:tcPr>
          <w:p>
            <w:r>
              <w:t>RESPONSE</w:t>
            </w:r>
          </w:p>
        </w:tc>
      </w:tr>
      <w:tr>
        <w:tc>
          <w:tcPr>
            <w:tcW w:type="dxa" w:w="2880"/>
            <w:vAlign w:val="center"/>
            <w:shd w:fill="F2F5F8"/>
          </w:tcPr>
          <w:p>
            <w:r>
              <w:t>Empty map at launch</w:t>
            </w:r>
          </w:p>
        </w:tc>
        <w:tc>
          <w:tcPr>
            <w:tcW w:type="dxa" w:w="6480"/>
            <w:vAlign w:val="center"/>
            <w:shd w:fill="F2F5F8"/>
          </w:tcPr>
          <w:p>
            <w:r>
              <w:t>Launch to a bounded group; seed real opt-in activities with student organizations; support browsing upcoming quests.</w:t>
            </w:r>
          </w:p>
        </w:tc>
      </w:tr>
      <w:tr>
        <w:tc>
          <w:tcPr>
            <w:tcW w:type="dxa" w:w="2880"/>
            <w:vAlign w:val="center"/>
          </w:tcPr>
          <w:p>
            <w:r>
              <w:t>Harassment or unsafe meetup</w:t>
            </w:r>
          </w:p>
        </w:tc>
        <w:tc>
          <w:tcPr>
            <w:tcW w:type="dxa" w:w="6480"/>
            <w:vAlign w:val="center"/>
          </w:tcPr>
          <w:p>
            <w:r>
              <w:t>Enforcement of the 18+ rule, host acceptance, no open DMs, block/report, moderation coverage, and public meetup reminders.</w:t>
            </w:r>
          </w:p>
        </w:tc>
      </w:tr>
      <w:tr>
        <w:tc>
          <w:tcPr>
            <w:tcW w:type="dxa" w:w="2880"/>
            <w:vAlign w:val="center"/>
            <w:shd w:fill="F2F5F8"/>
          </w:tcPr>
          <w:p>
            <w:r>
              <w:t>Fake proof and point farming</w:t>
            </w:r>
          </w:p>
        </w:tc>
        <w:tc>
          <w:tcPr>
            <w:tcW w:type="dxa" w:w="6480"/>
            <w:vAlign w:val="center"/>
            <w:shd w:fill="F2F5F8"/>
          </w:tcPr>
          <w:p>
            <w:r>
              <w:t>Flexible proof, confirmation windows, idempotent ledger, caps, anomaly review, appeals.</w:t>
            </w:r>
          </w:p>
        </w:tc>
      </w:tr>
      <w:tr>
        <w:tc>
          <w:tcPr>
            <w:tcW w:type="dxa" w:w="2880"/>
            <w:vAlign w:val="center"/>
          </w:tcPr>
          <w:p>
            <w:r>
              <w:t>Location or photo privacy harm</w:t>
            </w:r>
          </w:p>
        </w:tc>
        <w:tc>
          <w:tcPr>
            <w:tcW w:type="dxa" w:w="6480"/>
            <w:vAlign w:val="center"/>
          </w:tcPr>
          <w:p>
            <w:r>
              <w:t>No live tracking, approximate pins, private media, metadata stripping, retention controls, opt-in feed sharing.</w:t>
            </w:r>
          </w:p>
        </w:tc>
      </w:tr>
      <w:tr>
        <w:tc>
          <w:tcPr>
            <w:tcW w:type="dxa" w:w="2880"/>
            <w:vAlign w:val="center"/>
            <w:shd w:fill="F2F5F8"/>
          </w:tcPr>
          <w:p>
            <w:r>
              <w:t>Favor creates liability</w:t>
            </w:r>
          </w:p>
        </w:tc>
        <w:tc>
          <w:tcPr>
            <w:tcW w:type="dxa" w:w="6480"/>
            <w:vAlign w:val="center"/>
            <w:shd w:fill="F2F5F8"/>
          </w:tcPr>
          <w:p>
            <w:r>
              <w:t>Limit task categories, set value/effort boundaries, prohibit sensitive or risky requests, make expectations explicit.</w:t>
            </w:r>
          </w:p>
        </w:tc>
      </w:tr>
      <w:tr>
        <w:tc>
          <w:tcPr>
            <w:tcW w:type="dxa" w:w="2880"/>
            <w:vAlign w:val="center"/>
          </w:tcPr>
          <w:p>
            <w:r>
              <w:t>Leaderboard discourages newcomers</w:t>
            </w:r>
          </w:p>
        </w:tc>
        <w:tc>
          <w:tcPr>
            <w:tcW w:type="dxa" w:w="6480"/>
            <w:vAlign w:val="center"/>
          </w:tcPr>
          <w:p>
            <w:r>
              <w:t>Use seasonal top 10, personal progress, newcomer badges, opt-out, and contribution-quality checks.</w:t>
            </w:r>
          </w:p>
        </w:tc>
      </w:tr>
      <w:tr>
        <w:tc>
          <w:tcPr>
            <w:tcW w:type="dxa" w:w="2880"/>
            <w:vAlign w:val="center"/>
            <w:shd w:fill="F2F5F8"/>
          </w:tcPr>
          <w:p>
            <w:r>
              <w:t>Moderation workload grows</w:t>
            </w:r>
          </w:p>
        </w:tc>
        <w:tc>
          <w:tcPr>
            <w:tcW w:type="dxa" w:w="6480"/>
            <w:vAlign w:val="center"/>
            <w:shd w:fill="F2F5F8"/>
          </w:tcPr>
          <w:p>
            <w:r>
              <w:t>Limit initial launch area/cohort, rate-limit, triage severity, define staffing and pause criteria.</w:t>
            </w:r>
          </w:p>
        </w:tc>
      </w:tr>
    </w:tbl>
    <w:p>
      <w:pPr>
        <w:widowControl/>
        <w:spacing w:after="0"/>
      </w:pPr>
    </w:p>
    <w:p>
      <w:pPr>
        <w:pStyle w:val="Heading2"/>
        <w:keepNext/>
      </w:pPr>
      <w:r>
        <w:t>Decisions to settle before pilot</w:t>
      </w:r>
    </w:p>
    <w:p>
      <w:pPr>
        <w:pStyle w:val="ListBullet"/>
        <w:spacing w:after="40"/>
      </w:pPr>
      <w:r>
        <w:t>Is 18+ self-declaration sufficient for Side Quest’s UAE classification, or are additional age-assurance controls required? What account-integrity and abuse-prevention controls are appropriate for the Dubai Academic City pilot?</w:t>
      </w:r>
    </w:p>
    <w:p>
      <w:pPr>
        <w:pStyle w:val="ListBullet"/>
        <w:spacing w:after="40"/>
      </w:pPr>
      <w:r>
        <w:t>Who is on call for reports, what response target is realistic, and when should new posting pause?</w:t>
      </w:r>
    </w:p>
    <w:p>
      <w:pPr>
        <w:pStyle w:val="ListBullet"/>
        <w:spacing w:after="40"/>
      </w:pPr>
      <w:r>
        <w:t>Initial allowlist: Activities—co-study/accountability sessions, language practice, board/card games, casual public-area walks, and non-contact recreational sports at public facilities. Bounded Favors—directions or help locating public services within Academic City; brief explanation of general study concepts; and proofreading short, non-sensitive, non-assessed text. Do not allow completing assessed work, transport, money handling, valuables, credentials, medical/emergency help, heavy or hazardous tasks, controlled goods, home/private visits, or other prohibited requests. Restricted or institution-controlled venues are excluded from the initial pilot.</w:t>
      </w:r>
    </w:p>
    <w:p>
      <w:pPr>
        <w:pStyle w:val="ListBullet"/>
        <w:spacing w:after="40"/>
      </w:pPr>
      <w:r>
        <w:t>Does proof require poster confirmation, participant confirmation, or differ by quest type?</w:t>
      </w:r>
    </w:p>
    <w:p>
      <w:pPr>
        <w:pStyle w:val="ListBullet"/>
        <w:spacing w:after="40"/>
      </w:pPr>
      <w:r>
        <w:t>How long are messages, evidence, reports, and account records retained? What deletion obligations apply locally?</w:t>
      </w:r>
    </w:p>
    <w:p>
      <w:pPr>
        <w:pStyle w:val="ListBullet"/>
        <w:spacing w:after="40"/>
      </w:pPr>
      <w:r>
        <w:t>Pilot learning item  After the first four-week season, review participation, fairness, disputes, and anomaly signals. Change point values or caps only through an owner-approved change record.</w:t>
      </w:r>
    </w:p>
    <w:p>
      <w:pPr>
        <w:pStyle w:val="Heading2"/>
        <w:keepNext/>
      </w:pPr>
      <w:r>
        <w:t>Recommended first product test</w:t>
      </w:r>
    </w:p>
    <w:p>
      <w:pPr>
        <w:widowControl/>
      </w:pPr>
      <w:r>
        <w:t>Run a four-week invite-only pilot capped at 20 adult accounts in the whole of Dubai Academic City. Invite up to 10 initially and add up to 10 after the first-week review only if moderation and safety reports remain manageable; students from multiple institutions remain a core audience.</w:t>
      </w:r>
    </w:p>
    <w:sectPr w:rsidR="00FC693F" w:rsidRPr="0006063C" w:rsidSect="00034616">
      <w:headerReference w:type="default" r:id="rId9"/>
      <w:footerReference w:type="default" r:id="rId10"/>
      <w:pgSz w:w="12240" w:h="15840"/>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17184"/>
        <w:sz w:val="16"/>
      </w:rPr>
      <w:t>SIDE QUEST  •  WEBSITE CONCEPT AND BUILD PLAN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67C80"/>
        <w:sz w:val="16"/>
      </w:rPr>
      <w:t>SIDE QUEST   /   PRODUCT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44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b/>
      <w:bCs/>
      <w:color w:val="16263D"/>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167C80"/>
      <w:sz w:val="25"/>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b/>
      <w:bCs/>
      <w:color w:val="16263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6263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Side Quest Website Product and Technical Plan</dc:title>
  <dc:subject>Independent student connection platform across institutions; product and technical plan updated 25 September 2026</dc:subject>
  <dc:creator>Side Quest Product Planning</dc:creator>
  <cp:keywords/>
  <dc:description>generated by python-docx</dc:description>
  <cp:lastModifiedBy/>
  <cp:revision>1</cp:revision>
  <dcterms:created xsi:type="dcterms:W3CDTF">2013-12-23T23:15:00Z</dcterms:created>
  <dcterms:modified xsi:type="dcterms:W3CDTF">2013-12-23T23:15:00Z</dcterms:modified>
  <cp:category/>
</cp:coreProperties>
</file>