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F45D4F"/>
          <w:sz w:val="18"/>
        </w:rPr>
        <w:t>SIDE QUEST  /  PROJECT ROADMAP</w:t>
      </w:r>
    </w:p>
    <w:p>
      <w:pPr>
        <w:pStyle w:val="Title"/>
        <w:keepNext/>
      </w:pPr>
      <w:r>
        <w:t>Project Checkpoint Plan</w:t>
      </w:r>
    </w:p>
    <w:p>
      <w:pPr>
        <w:spacing w:after="240"/>
      </w:pPr>
      <w:r>
        <w:t>A phased delivery plan for an independent local connection platform with a student-centered first audience</w:t>
      </w:r>
    </w:p>
    <w:tbl>
      <w:tblPr>
        <w:tblW w:type="auto" w:w="0"/>
        <w:jc w:val="center"/>
        <w:tblLook w:firstColumn="1" w:firstRow="1" w:lastColumn="0" w:lastRow="0" w:noHBand="0" w:noVBand="1" w:val="04A0"/>
      </w:tblPr>
      <w:tblGrid>
        <w:gridCol w:w="9994"/>
      </w:tblGrid>
      <w:tr>
        <w:tc>
          <w:tcPr>
            <w:tcW w:type="dxa" w:w="9994"/>
            <w:shd w:fill="EEF2F6"/>
            <w:tcMar>
              <w:top w:w="140" w:type="dxa"/>
              <w:start w:w="180" w:type="dxa"/>
              <w:bottom w:w="140" w:type="dxa"/>
              <w:end w:w="180" w:type="dxa"/>
            </w:tcMar>
          </w:tcPr>
          <w:p>
            <w:pPr>
              <w:spacing w:after="0"/>
            </w:pPr>
            <w:r>
              <w:rPr>
                <w:b/>
                <w:color w:val="F45D4F"/>
              </w:rPr>
              <w:t xml:space="preserve">Purpose  </w:t>
            </w:r>
            <w:r>
              <w:t>This plan turns the Side Quest requirements, product and technical plan, database design, and UI/UX specification into reviewable delivery checkpoints. Each phase ends with an evidence-based gate. A failed gate keeps the work in the current phase until its gaps are resolved or formally accepted by the product owner.</w:t>
            </w:r>
          </w:p>
        </w:tc>
      </w:tr>
    </w:tbl>
    <w:p/>
    <w:p>
      <w:pPr/>
      <w:r>
        <w:rPr>
          <w:b/>
          <w:color w:val="F45D4F"/>
        </w:rPr>
        <w:t>PRODUCT DIRECTION UPDATE  Side Quest is an independently operated, student-centered local connection platform open to any account holder who meets the 18+ age, account-integrity, and safety rules. Students across institutions are a core audience, but student status, university acceptance, sponsorship, or integration is not required for general access. Campuses, student organizations, and other groups may be optional communities or meetup contexts. Dubai Academic City is the selected first operating area. Permission is needed only for specific restricted venues, institutional branding, official channels, or integrations if used. Privacy, safety, moderation, and applicable legal review remain required.</w:t>
      </w:r>
      <w:r/>
    </w:p>
    <w:p>
      <w:pPr>
        <w:pStyle w:val="Heading1"/>
        <w:keepNext/>
      </w:pPr>
      <w:r>
        <w:t>How to use this plan</w:t>
      </w:r>
    </w:p>
    <w:p>
      <w:pPr>
        <w:pStyle w:val="ListBullet"/>
        <w:spacing w:after="40"/>
        <w:ind w:left="317" w:hanging="202"/>
      </w:pPr>
      <w:r>
        <w:t>Assign a named lead and target date to each checkpoint during kickoff; the source documents do not set delivery durations.</w:t>
      </w:r>
    </w:p>
    <w:p>
      <w:pPr>
        <w:pStyle w:val="ListBullet"/>
        <w:spacing w:after="40"/>
        <w:ind w:left="317" w:hanging="202"/>
      </w:pPr>
      <w:r>
        <w:t>Track each phase as Not started, In progress, Ready for review, Accepted, or Blocked. Record the evidence and approver when a gate is accepted.</w:t>
      </w:r>
    </w:p>
    <w:p>
      <w:pPr>
        <w:pStyle w:val="ListBullet"/>
        <w:spacing w:after="40"/>
        <w:ind w:left="317" w:hanging="202"/>
      </w:pPr>
      <w:r>
        <w:t>Use the requirements IDs and source documents listed in each checkpoint to keep implementation, review, and scope changes traceable.</w:t>
      </w:r>
    </w:p>
    <w:p>
      <w:pPr>
        <w:pStyle w:val="ListBullet"/>
        <w:spacing w:after="40"/>
        <w:ind w:left="317" w:hanging="202"/>
      </w:pPr>
      <w:r>
        <w:t>Do not enable production registration or collect real user data until controls for the 18+ rule and the privacy, retention, security, and moderation release gates are signed.</w:t>
      </w:r>
    </w:p>
    <w:p>
      <w:pPr/>
      <w:r>
        <w:t>Current status as of 25 September 2026  CP0 and CP1 remain in progress. CP2 build baseline and points decisions are accepted. CP3 is in progress: the website source repository, Next.js application shell, local Supabase configuration, and initial foundation migration are scaffolded. Package installation remains pending; local database startup and migration application are blocked because this workspace cannot access the Docker daemon. CP3 continues with synthetic development data; hosted environments, production registration, and real user data remain gated by CP1 age-assurance, privacy, hosting, venue, and moderation approvals.</w:t>
      </w:r>
    </w:p>
    <w:p>
      <w:pPr>
        <w:pStyle w:val="Heading1"/>
        <w:keepNext/>
      </w:pPr>
      <w:r>
        <w:t>Roadmap at a glance</w:t>
      </w:r>
    </w:p>
    <w:tbl>
      <w:tblPr>
        <w:tblW w:type="auto" w:w="0"/>
        <w:jc w:val="center"/>
        <w:tblLayout w:type="fixed"/>
        <w:tblLook w:firstColumn="1" w:firstRow="1" w:lastColumn="0" w:lastRow="0" w:noHBand="0" w:noVBand="1" w:val="04A0"/>
      </w:tblPr>
      <w:tblGrid>
        <w:gridCol w:w="2016"/>
        <w:gridCol w:w="3600"/>
        <w:gridCol w:w="4536"/>
      </w:tblGrid>
      <w:tr>
        <w:trPr>
          <w:tblHeader w:val="true"/>
        </w:trPr>
        <w:tc>
          <w:tcPr>
            <w:tcW w:type="dxa" w:w="3331"/>
            <w:shd w:fill="14243A"/>
            <w:tcMar>
              <w:top w:w="90" w:type="dxa"/>
              <w:start w:w="110" w:type="dxa"/>
              <w:bottom w:w="90" w:type="dxa"/>
              <w:end w:w="110" w:type="dxa"/>
            </w:tcMar>
            <w:vAlign w:val="center"/>
          </w:tcPr>
          <w:p>
            <w:pPr>
              <w:spacing w:after="0"/>
            </w:pPr>
            <w:r>
              <w:rPr>
                <w:b/>
                <w:color w:val="FFFFFF"/>
                <w:sz w:val="17"/>
              </w:rPr>
              <w:t>Checkpoint</w:t>
            </w:r>
          </w:p>
        </w:tc>
        <w:tc>
          <w:tcPr>
            <w:tcW w:type="dxa" w:w="3331"/>
            <w:shd w:fill="14243A"/>
            <w:tcMar>
              <w:top w:w="90" w:type="dxa"/>
              <w:start w:w="110" w:type="dxa"/>
              <w:bottom w:w="90" w:type="dxa"/>
              <w:end w:w="110" w:type="dxa"/>
            </w:tcMar>
            <w:vAlign w:val="center"/>
          </w:tcPr>
          <w:p>
            <w:pPr>
              <w:spacing w:after="0"/>
            </w:pPr>
            <w:r>
              <w:rPr>
                <w:b/>
                <w:color w:val="FFFFFF"/>
                <w:sz w:val="17"/>
              </w:rPr>
              <w:t>Focus</w:t>
            </w:r>
          </w:p>
        </w:tc>
        <w:tc>
          <w:tcPr>
            <w:tcW w:type="dxa" w:w="3331"/>
            <w:shd w:fill="14243A"/>
            <w:tcMar>
              <w:top w:w="90" w:type="dxa"/>
              <w:start w:w="110" w:type="dxa"/>
              <w:bottom w:w="90" w:type="dxa"/>
              <w:end w:w="110" w:type="dxa"/>
            </w:tcMar>
            <w:vAlign w:val="center"/>
          </w:tcPr>
          <w:p>
            <w:pPr>
              <w:spacing w:after="0"/>
            </w:pPr>
            <w:r>
              <w:rPr>
                <w:b/>
                <w:color w:val="FFFFFF"/>
                <w:sz w:val="17"/>
              </w:rPr>
              <w:t>Gate summary</w:t>
            </w:r>
          </w:p>
        </w:tc>
      </w:tr>
      <w:tr>
        <w:tc>
          <w:tcPr>
            <w:tcW w:type="dxa" w:w="2016"/>
            <w:tcMar>
              <w:top w:w="90" w:type="dxa"/>
              <w:start w:w="110" w:type="dxa"/>
              <w:bottom w:w="90" w:type="dxa"/>
              <w:end w:w="110" w:type="dxa"/>
            </w:tcMar>
            <w:vAlign w:val="top"/>
          </w:tcPr>
          <w:p>
            <w:pPr>
              <w:spacing w:after="0" w:line="247" w:lineRule="auto"/>
            </w:pPr>
            <w:r>
              <w:rPr>
                <w:color w:val="14243A"/>
                <w:sz w:val="16"/>
              </w:rPr>
              <w:t>0</w:t>
            </w:r>
          </w:p>
        </w:tc>
        <w:tc>
          <w:tcPr>
            <w:tcW w:type="dxa" w:w="3600"/>
            <w:tcMar>
              <w:top w:w="90" w:type="dxa"/>
              <w:start w:w="110" w:type="dxa"/>
              <w:bottom w:w="90" w:type="dxa"/>
              <w:end w:w="110" w:type="dxa"/>
            </w:tcMar>
            <w:vAlign w:val="top"/>
          </w:tcPr>
          <w:p>
            <w:pPr>
              <w:spacing w:after="0" w:line="247" w:lineRule="auto"/>
            </w:pPr>
            <w:r>
              <w:rPr>
                <w:color w:val="14243A"/>
                <w:sz w:val="16"/>
              </w:rPr>
              <w:t>Mobilize and settle decisions</w:t>
            </w:r>
          </w:p>
        </w:tc>
        <w:tc>
          <w:tcPr>
            <w:tcW w:type="dxa" w:w="4536"/>
            <w:tcMar>
              <w:top w:w="90" w:type="dxa"/>
              <w:start w:w="110" w:type="dxa"/>
              <w:bottom w:w="90" w:type="dxa"/>
              <w:end w:w="110" w:type="dxa"/>
            </w:tcMar>
            <w:vAlign w:val="top"/>
          </w:tcPr>
          <w:p>
            <w:pPr>
              <w:spacing w:after="0" w:line="247" w:lineRule="auto"/>
            </w:pPr>
            <w:r>
              <w:rPr>
                <w:color w:val="14243A"/>
                <w:sz w:val="16"/>
              </w:rPr>
              <w:t>Owners, scope, pilot constraints, and unresolved decisions are recorded.</w:t>
            </w:r>
          </w:p>
        </w:tc>
      </w:tr>
      <w:tr>
        <w:tc>
          <w:tcPr>
            <w:tcW w:type="dxa" w:w="2016"/>
            <w:tcMar>
              <w:top w:w="90" w:type="dxa"/>
              <w:start w:w="110" w:type="dxa"/>
              <w:bottom w:w="90" w:type="dxa"/>
              <w:end w:w="110" w:type="dxa"/>
            </w:tcMar>
            <w:vAlign w:val="top"/>
            <w:shd w:fill="F7F9FB"/>
          </w:tcPr>
          <w:p>
            <w:pPr>
              <w:spacing w:after="0" w:line="247" w:lineRule="auto"/>
            </w:pPr>
            <w:r>
              <w:rPr>
                <w:color w:val="14243A"/>
                <w:sz w:val="16"/>
              </w:rPr>
              <w:t>1</w:t>
            </w:r>
          </w:p>
        </w:tc>
        <w:tc>
          <w:tcPr>
            <w:tcW w:type="dxa" w:w="3600"/>
            <w:tcMar>
              <w:top w:w="90" w:type="dxa"/>
              <w:start w:w="110" w:type="dxa"/>
              <w:bottom w:w="90" w:type="dxa"/>
              <w:end w:w="110" w:type="dxa"/>
            </w:tcMar>
            <w:vAlign w:val="top"/>
            <w:shd w:fill="F7F9FB"/>
          </w:tcPr>
          <w:p>
            <w:r>
              <w:t>Validate account access and local operating model</w:t>
            </w:r>
          </w:p>
        </w:tc>
        <w:tc>
          <w:tcPr>
            <w:tcW w:type="dxa" w:w="4536"/>
            <w:tcMar>
              <w:top w:w="90" w:type="dxa"/>
              <w:start w:w="110" w:type="dxa"/>
              <w:bottom w:w="90" w:type="dxa"/>
              <w:end w:w="110" w:type="dxa"/>
            </w:tcMar>
            <w:vAlign w:val="top"/>
            <w:shd w:fill="F7F9FB"/>
          </w:tcPr>
          <w:p>
            <w:r>
              <w:t>Account access, enforcement of the 18+ rule, suitable venues, rules, and moderator coverage are approved.</w:t>
            </w:r>
          </w:p>
        </w:tc>
      </w:tr>
      <w:tr>
        <w:tc>
          <w:tcPr>
            <w:tcW w:type="dxa" w:w="2016"/>
            <w:tcMar>
              <w:top w:w="90" w:type="dxa"/>
              <w:start w:w="110" w:type="dxa"/>
              <w:bottom w:w="90" w:type="dxa"/>
              <w:end w:w="110" w:type="dxa"/>
            </w:tcMar>
            <w:vAlign w:val="top"/>
          </w:tcPr>
          <w:p>
            <w:pPr>
              <w:spacing w:after="0" w:line="247" w:lineRule="auto"/>
            </w:pPr>
            <w:r>
              <w:rPr>
                <w:color w:val="14243A"/>
                <w:sz w:val="16"/>
              </w:rPr>
              <w:t>2</w:t>
            </w:r>
          </w:p>
        </w:tc>
        <w:tc>
          <w:tcPr>
            <w:tcW w:type="dxa" w:w="3600"/>
            <w:tcMar>
              <w:top w:w="90" w:type="dxa"/>
              <w:start w:w="110" w:type="dxa"/>
              <w:bottom w:w="90" w:type="dxa"/>
              <w:end w:w="110" w:type="dxa"/>
            </w:tcMar>
            <w:vAlign w:val="top"/>
          </w:tcPr>
          <w:p>
            <w:r>
              <w:t>Accept the complete build baseline</w:t>
            </w:r>
          </w:p>
        </w:tc>
        <w:tc>
          <w:tcPr>
            <w:tcW w:type="dxa" w:w="4536"/>
            <w:tcMar>
              <w:top w:w="90" w:type="dxa"/>
              <w:start w:w="110" w:type="dxa"/>
              <w:bottom w:w="90" w:type="dxa"/>
              <w:end w:w="110" w:type="dxa"/>
            </w:tcMar>
            <w:vAlign w:val="top"/>
          </w:tcPr>
          <w:p>
            <w:r>
              <w:t>Functional scope, frontend screens, backend/API/data, authorization, and acceptance criteria are approved.</w:t>
            </w:r>
          </w:p>
        </w:tc>
      </w:tr>
      <w:tr>
        <w:tc>
          <w:tcPr>
            <w:tcW w:type="dxa" w:w="2016"/>
            <w:tcMar>
              <w:top w:w="90" w:type="dxa"/>
              <w:start w:w="110" w:type="dxa"/>
              <w:bottom w:w="90" w:type="dxa"/>
              <w:end w:w="110" w:type="dxa"/>
            </w:tcMar>
            <w:vAlign w:val="top"/>
            <w:shd w:fill="F7F9FB"/>
          </w:tcPr>
          <w:p>
            <w:pPr>
              <w:spacing w:after="0" w:line="247" w:lineRule="auto"/>
            </w:pPr>
            <w:r>
              <w:rPr>
                <w:color w:val="14243A"/>
                <w:sz w:val="16"/>
              </w:rPr>
              <w:t>3</w:t>
            </w:r>
          </w:p>
        </w:tc>
        <w:tc>
          <w:tcPr>
            <w:tcW w:type="dxa" w:w="3600"/>
            <w:tcMar>
              <w:top w:w="90" w:type="dxa"/>
              <w:start w:w="110" w:type="dxa"/>
              <w:bottom w:w="90" w:type="dxa"/>
              <w:end w:w="110" w:type="dxa"/>
            </w:tcMar>
            <w:vAlign w:val="top"/>
            <w:shd w:fill="F7F9FB"/>
          </w:tcPr>
          <w:p>
            <w:r>
              <w:t>Build application and platform foundation</w:t>
            </w:r>
          </w:p>
        </w:tc>
        <w:tc>
          <w:tcPr>
            <w:tcW w:type="dxa" w:w="4536"/>
            <w:tcMar>
              <w:top w:w="90" w:type="dxa"/>
              <w:start w:w="110" w:type="dxa"/>
              <w:bottom w:w="90" w:type="dxa"/>
              <w:end w:w="110" w:type="dxa"/>
            </w:tcMar>
            <w:vAlign w:val="top"/>
            <w:shd w:fill="F7F9FB"/>
          </w:tcPr>
          <w:p>
            <w:r>
              <w:t>Responsive app shell, dev/staging workflow, core schema/API, identity foundation, and secure operations are ready.</w:t>
            </w:r>
          </w:p>
        </w:tc>
      </w:tr>
      <w:tr>
        <w:tc>
          <w:tcPr>
            <w:tcW w:type="dxa" w:w="2016"/>
            <w:tcMar>
              <w:top w:w="90" w:type="dxa"/>
              <w:start w:w="110" w:type="dxa"/>
              <w:bottom w:w="90" w:type="dxa"/>
              <w:end w:w="110" w:type="dxa"/>
            </w:tcMar>
            <w:vAlign w:val="top"/>
          </w:tcPr>
          <w:p>
            <w:pPr>
              <w:spacing w:after="0" w:line="247" w:lineRule="auto"/>
            </w:pPr>
            <w:r>
              <w:rPr>
                <w:color w:val="14243A"/>
                <w:sz w:val="16"/>
              </w:rPr>
              <w:t>4</w:t>
            </w:r>
          </w:p>
        </w:tc>
        <w:tc>
          <w:tcPr>
            <w:tcW w:type="dxa" w:w="3600"/>
            <w:tcMar>
              <w:top w:w="90" w:type="dxa"/>
              <w:start w:w="110" w:type="dxa"/>
              <w:bottom w:w="90" w:type="dxa"/>
              <w:end w:w="110" w:type="dxa"/>
            </w:tcMar>
            <w:vAlign w:val="top"/>
          </w:tcPr>
          <w:p>
            <w:r>
              <w:t>Build discovery and participation</w:t>
            </w:r>
          </w:p>
        </w:tc>
        <w:tc>
          <w:tcPr>
            <w:tcW w:type="dxa" w:w="4536"/>
            <w:tcMar>
              <w:top w:w="90" w:type="dxa"/>
              <w:start w:w="110" w:type="dxa"/>
              <w:bottom w:w="90" w:type="dxa"/>
              <w:end w:w="110" w:type="dxa"/>
            </w:tcMar>
            <w:vAlign w:val="top"/>
          </w:tcPr>
          <w:p>
            <w:r>
              <w:t>Map/list discovery, quest creation, request/approval, and accepted-only access work end to end.</w:t>
            </w:r>
          </w:p>
        </w:tc>
      </w:tr>
      <w:tr>
        <w:tc>
          <w:tcPr>
            <w:tcW w:type="dxa" w:w="2016"/>
            <w:tcMar>
              <w:top w:w="90" w:type="dxa"/>
              <w:start w:w="110" w:type="dxa"/>
              <w:bottom w:w="90" w:type="dxa"/>
              <w:end w:w="110" w:type="dxa"/>
            </w:tcMar>
            <w:vAlign w:val="top"/>
            <w:shd w:fill="F7F9FB"/>
          </w:tcPr>
          <w:p>
            <w:pPr>
              <w:spacing w:after="0" w:line="247" w:lineRule="auto"/>
            </w:pPr>
            <w:r>
              <w:rPr>
                <w:color w:val="14243A"/>
                <w:sz w:val="16"/>
              </w:rPr>
              <w:t>5</w:t>
            </w:r>
          </w:p>
        </w:tc>
        <w:tc>
          <w:tcPr>
            <w:tcW w:type="dxa" w:w="3600"/>
            <w:tcMar>
              <w:top w:w="90" w:type="dxa"/>
              <w:start w:w="110" w:type="dxa"/>
              <w:bottom w:w="90" w:type="dxa"/>
              <w:end w:w="110" w:type="dxa"/>
            </w:tcMar>
            <w:vAlign w:val="top"/>
            <w:shd w:fill="F7F9FB"/>
          </w:tcPr>
          <w:p>
            <w:r>
              <w:t>Build coordination and completion</w:t>
            </w:r>
          </w:p>
        </w:tc>
        <w:tc>
          <w:tcPr>
            <w:tcW w:type="dxa" w:w="4536"/>
            <w:tcMar>
              <w:top w:w="90" w:type="dxa"/>
              <w:start w:w="110" w:type="dxa"/>
              <w:bottom w:w="90" w:type="dxa"/>
              <w:end w:w="110" w:type="dxa"/>
            </w:tcMar>
            <w:vAlign w:val="top"/>
            <w:shd w:fill="F7F9FB"/>
          </w:tcPr>
          <w:p>
            <w:r>
              <w:t>Private chat, proof/completion, disputes, points, recaps, and notifications work end to end.</w:t>
            </w:r>
          </w:p>
        </w:tc>
      </w:tr>
      <w:tr>
        <w:tc>
          <w:tcPr>
            <w:tcW w:type="dxa" w:w="2016"/>
            <w:tcMar>
              <w:top w:w="90" w:type="dxa"/>
              <w:start w:w="110" w:type="dxa"/>
              <w:bottom w:w="90" w:type="dxa"/>
              <w:end w:w="110" w:type="dxa"/>
            </w:tcMar>
            <w:vAlign w:val="top"/>
          </w:tcPr>
          <w:p>
            <w:pPr>
              <w:spacing w:after="0" w:line="247" w:lineRule="auto"/>
            </w:pPr>
            <w:r>
              <w:rPr>
                <w:color w:val="14243A"/>
                <w:sz w:val="16"/>
              </w:rPr>
              <w:t>6</w:t>
            </w:r>
          </w:p>
        </w:tc>
        <w:tc>
          <w:tcPr>
            <w:tcW w:type="dxa" w:w="3600"/>
            <w:tcMar>
              <w:top w:w="90" w:type="dxa"/>
              <w:start w:w="110" w:type="dxa"/>
              <w:bottom w:w="90" w:type="dxa"/>
              <w:end w:w="110" w:type="dxa"/>
            </w:tcMar>
            <w:vAlign w:val="top"/>
          </w:tcPr>
          <w:p>
            <w:r>
              <w:t>Build safety and administration</w:t>
            </w:r>
          </w:p>
        </w:tc>
        <w:tc>
          <w:tcPr>
            <w:tcW w:type="dxa" w:w="4536"/>
            <w:tcMar>
              <w:top w:w="90" w:type="dxa"/>
              <w:start w:w="110" w:type="dxa"/>
              <w:bottom w:w="90" w:type="dxa"/>
              <w:end w:w="110" w:type="dxa"/>
            </w:tcMar>
            <w:vAlign w:val="top"/>
          </w:tcPr>
          <w:p>
            <w:r>
              <w:t>Reporting, blocks, moderator operations, configuration, analytics, and pause controls are usable.</w:t>
            </w:r>
          </w:p>
        </w:tc>
      </w:tr>
      <w:tr>
        <w:tc>
          <w:tcPr>
            <w:tcW w:type="dxa" w:w="2016"/>
            <w:tcMar>
              <w:top w:w="90" w:type="dxa"/>
              <w:start w:w="110" w:type="dxa"/>
              <w:bottom w:w="90" w:type="dxa"/>
              <w:end w:w="110" w:type="dxa"/>
            </w:tcMar>
            <w:vAlign w:val="top"/>
            <w:shd w:fill="F7F9FB"/>
          </w:tcPr>
          <w:p>
            <w:pPr>
              <w:spacing w:after="0" w:line="247" w:lineRule="auto"/>
            </w:pPr>
            <w:r>
              <w:rPr>
                <w:color w:val="14243A"/>
                <w:sz w:val="16"/>
              </w:rPr>
              <w:t>7</w:t>
            </w:r>
          </w:p>
        </w:tc>
        <w:tc>
          <w:tcPr>
            <w:tcW w:type="dxa" w:w="3600"/>
            <w:tcMar>
              <w:top w:w="90" w:type="dxa"/>
              <w:start w:w="110" w:type="dxa"/>
              <w:bottom w:w="90" w:type="dxa"/>
              <w:end w:w="110" w:type="dxa"/>
            </w:tcMar>
            <w:vAlign w:val="top"/>
            <w:shd w:fill="F7F9FB"/>
          </w:tcPr>
          <w:p>
            <w:r>
              <w:t>Complete and internally verify the whole website</w:t>
            </w:r>
          </w:p>
        </w:tc>
        <w:tc>
          <w:tcPr>
            <w:tcW w:type="dxa" w:w="4536"/>
            <w:tcMar>
              <w:top w:w="90" w:type="dxa"/>
              <w:start w:w="110" w:type="dxa"/>
              <w:bottom w:w="90" w:type="dxa"/>
              <w:end w:w="110" w:type="dxa"/>
            </w:tcMar>
            <w:vAlign w:val="top"/>
            <w:shd w:fill="F7F9FB"/>
          </w:tcPr>
          <w:p>
            <w:r>
              <w:t>All frontend/backend features are integrated; internal acceptance finds no critical technical defect.</w:t>
            </w:r>
          </w:p>
        </w:tc>
      </w:tr>
      <w:tr>
        <w:tc>
          <w:tcPr>
            <w:tcW w:type="dxa" w:w="2016"/>
            <w:tcMar>
              <w:top w:w="90" w:type="dxa"/>
              <w:start w:w="110" w:type="dxa"/>
              <w:bottom w:w="90" w:type="dxa"/>
              <w:end w:w="110" w:type="dxa"/>
            </w:tcMar>
            <w:vAlign w:val="top"/>
          </w:tcPr>
          <w:p>
            <w:pPr>
              <w:spacing w:after="0" w:line="247" w:lineRule="auto"/>
            </w:pPr>
            <w:r>
              <w:rPr>
                <w:color w:val="14243A"/>
                <w:sz w:val="16"/>
              </w:rPr>
              <w:t>8</w:t>
            </w:r>
          </w:p>
        </w:tc>
        <w:tc>
          <w:tcPr>
            <w:tcW w:type="dxa" w:w="3600"/>
            <w:tcMar>
              <w:top w:w="90" w:type="dxa"/>
              <w:start w:w="110" w:type="dxa"/>
              <w:bottom w:w="90" w:type="dxa"/>
              <w:end w:w="110" w:type="dxa"/>
            </w:tcMar>
            <w:vAlign w:val="top"/>
          </w:tcPr>
          <w:p>
            <w:r>
              <w:t>Test with people and iterate</w:t>
            </w:r>
          </w:p>
        </w:tc>
        <w:tc>
          <w:tcPr>
            <w:tcW w:type="dxa" w:w="4536"/>
            <w:tcMar>
              <w:top w:w="90" w:type="dxa"/>
              <w:start w:w="110" w:type="dxa"/>
              <w:bottom w:w="90" w:type="dxa"/>
              <w:end w:w="110" w:type="dxa"/>
            </w:tcMar>
            <w:vAlign w:val="top"/>
          </w:tcPr>
          <w:p>
            <w:r>
              <w:t>Five moderated sessions are recorded; high-priority findings are implemented and re-checked.</w:t>
            </w:r>
          </w:p>
        </w:tc>
      </w:tr>
      <w:tr>
        <w:tc>
          <w:tcPr>
            <w:tcW w:type="dxa" w:w="2016"/>
            <w:tcMar>
              <w:top w:w="90" w:type="dxa"/>
              <w:start w:w="110" w:type="dxa"/>
              <w:bottom w:w="90" w:type="dxa"/>
              <w:end w:w="110" w:type="dxa"/>
            </w:tcMar>
            <w:vAlign w:val="top"/>
            <w:shd w:fill="F7F9FB"/>
          </w:tcPr>
          <w:p>
            <w:pPr>
              <w:spacing w:after="0" w:line="247" w:lineRule="auto"/>
            </w:pPr>
            <w:r>
              <w:rPr>
                <w:color w:val="14243A"/>
                <w:sz w:val="16"/>
              </w:rPr>
              <w:t>9</w:t>
            </w:r>
          </w:p>
        </w:tc>
        <w:tc>
          <w:tcPr>
            <w:tcW w:type="dxa" w:w="3600"/>
            <w:tcMar>
              <w:top w:w="90" w:type="dxa"/>
              <w:start w:w="110" w:type="dxa"/>
              <w:bottom w:w="90" w:type="dxa"/>
              <w:end w:w="110" w:type="dxa"/>
            </w:tcMar>
            <w:vAlign w:val="top"/>
            <w:shd w:fill="F7F9FB"/>
          </w:tcPr>
          <w:p>
            <w:r>
              <w:t>Run the local pilot and decide what follows</w:t>
            </w:r>
          </w:p>
        </w:tc>
        <w:tc>
          <w:tcPr>
            <w:tcW w:type="dxa" w:w="4536"/>
            <w:tcMar>
              <w:top w:w="90" w:type="dxa"/>
              <w:start w:w="110" w:type="dxa"/>
              <w:bottom w:w="90" w:type="dxa"/>
              <w:end w:w="110" w:type="dxa"/>
            </w:tcMar>
            <w:vAlign w:val="top"/>
            <w:shd w:fill="F7F9FB"/>
          </w:tcPr>
          <w:p>
            <w:r>
              <w:t>A four-week invited pilot produces a documented stop, iterate, extend, or expansion-preparation decision.</w:t>
            </w:r>
          </w:p>
        </w:tc>
      </w:tr>
    </w:tbl>
    <w:p>
      <w:pPr>
        <w:spacing w:after="0"/>
      </w:pPr>
    </w:p>
    <w:p>
      <w:pPr>
        <w:pStyle w:val="Heading1"/>
        <w:keepNext/>
      </w:pPr>
      <w:r>
        <w:t>Checkpoint 0  Mobilize and settle decisions</w:t>
      </w:r>
    </w:p>
    <w:p>
      <w:pPr>
        <w:keepLines/>
      </w:pPr>
      <w:r>
        <w:rPr>
          <w:b/>
          <w:color w:val="F45D4F"/>
        </w:rPr>
        <w:t xml:space="preserve">Purpose  </w:t>
      </w:r>
      <w:r>
        <w:t>Create one agreed implementation baseline from the current documents and identify decisions that block safe production use.</w:t>
      </w:r>
    </w:p>
    <w:p>
      <w:pPr>
        <w:pStyle w:val="Heading2"/>
        <w:keepNext/>
      </w:pPr>
      <w:r>
        <w:t>Work and outputs</w:t>
      </w:r>
    </w:p>
    <w:p>
      <w:pPr>
        <w:pStyle w:val="ListBullet"/>
        <w:spacing w:after="40"/>
        <w:ind w:left="317" w:hanging="202"/>
      </w:pPr>
      <w:r>
        <w:t>Name the product owner, engineering lead, design lead, and optional local operating advisor; record the product owner as initial primary moderator, name a backup, and clarify who can accept each phase gate. The primary moderator role may change later.</w:t>
      </w:r>
    </w:p>
    <w:p>
      <w:pPr>
        <w:pStyle w:val="ListBullet"/>
        <w:spacing w:after="40"/>
        <w:ind w:left="317" w:hanging="202"/>
      </w:pPr>
      <w:r>
        <w:t>Confirm Side Quest is open to eligible account holders, with students as a core audience, and operates independently. Dubai Academic City is the selected initial geographic area; it is not an institutional eligibility boundary.</w:t>
      </w:r>
    </w:p>
    <w:p>
      <w:pPr>
        <w:pStyle w:val="ListBullet"/>
        <w:spacing w:after="40"/>
        <w:ind w:left="317" w:hanging="202"/>
      </w:pPr>
      <w:r>
        <w:t>Create a decision log for account authentication and recovery, 18+ age eligibility, launch-area and venue suitability, optional institutional resources, Mapbox coverage acceptance and Google Maps fallback, hosting region, retention/deletion, completion quorum, dispute window, point rules/caps, rejoin behavior, map precision, and manual theme persistence.</w:t>
      </w:r>
    </w:p>
    <w:p>
      <w:pPr>
        <w:pStyle w:val="ListBullet"/>
        <w:spacing w:after="40"/>
        <w:ind w:left="317" w:hanging="202"/>
      </w:pPr>
      <w:r>
        <w:t>Agree delivery scope, exclusions, pilot cohort target, success measures, and change-control approach. Keep payments, open DMs, live location tracking, and native apps out of the first release. Cross-institution participation is in scope.</w:t>
      </w:r>
    </w:p>
    <w:p>
      <w:pPr>
        <w:keepLines/>
      </w:pPr>
      <w:r>
        <w:t>Exit gate  Product owner accepts the independent cross-institution scope, decision log with owners and due dates, accountability map, and prioritized backlog. Blocking decisions have a named resolver and no assumption is represented as approval.</w:t>
      </w:r>
    </w:p>
    <w:p>
      <w:pPr>
        <w:keepLines/>
      </w:pPr>
      <w:r>
        <w:rPr>
          <w:b/>
          <w:color w:val="F45D4F"/>
        </w:rPr>
        <w:t xml:space="preserve">Depends on  </w:t>
      </w:r>
      <w:r>
        <w:t>Kickoff; prerequisite for all later checkpoints.</w:t>
      </w:r>
    </w:p>
    <w:p>
      <w:pPr>
        <w:keepLines/>
      </w:pPr>
      <w:r>
        <w:rPr>
          <w:b/>
          <w:color w:val="F45D4F"/>
        </w:rPr>
        <w:t xml:space="preserve">Traceability  </w:t>
      </w:r>
      <w:r>
        <w:t>SRD scope and open decisions; Product and Technical Plan delivery roadmap and operating model; Database Design Document open decisions.</w:t>
      </w:r>
    </w:p>
    <w:p>
      <w:pPr>
        <w:pStyle w:val="Heading1"/>
        <w:keepNext/>
      </w:pPr>
      <w:r>
        <w:t>Checkpoint 1  Validate account access and local operating model</w:t>
      </w:r>
    </w:p>
    <w:p>
      <w:pPr>
        <w:keepLines/>
      </w:pPr>
      <w:r>
        <w:rPr>
          <w:b/>
          <w:color w:val="F45D4F"/>
        </w:rPr>
        <w:t xml:space="preserve">Purpose  </w:t>
      </w:r>
      <w:r>
        <w:t>Confirm the real-world rules and people needed to run a student pilot before implementation depends on them.</w:t>
      </w:r>
    </w:p>
    <w:p>
      <w:pPr>
        <w:pStyle w:val="Heading2"/>
        <w:keepNext/>
      </w:pPr>
      <w:r>
        <w:t>Work and outputs</w:t>
      </w:r>
    </w:p>
    <w:p>
      <w:pPr>
        <w:pStyle w:val="ListBullet"/>
        <w:spacing w:after="40"/>
        <w:ind w:left="317" w:hanging="202"/>
      </w:pPr>
      <w:r>
        <w:t>Support Google sign-in or email/password account access for any eligible adult aged 18 or older. Student-status checks are not required for general access. Require an 18+ self-declaration during sign-up and use Google only to authenticate the account. Obtain qualified UAE review to decide whether additional age-assurance controls are required before production. Define account-integrity controls, account recovery, and optional community restrictions.</w:t>
      </w:r>
    </w:p>
    <w:p>
      <w:pPr>
        <w:pStyle w:val="ListBullet"/>
        <w:spacing w:after="40"/>
        <w:ind w:left="317" w:hanging="202"/>
      </w:pPr>
      <w:r>
        <w:t>Use publicly accessible meetup places only in the initial pilot; verify their hours, public access, and accessibility. Exclude restricted and institution-controlled venues until a later phase with documented permission and review. University marks, official channels, and integrations remain optional.</w:t>
      </w:r>
    </w:p>
    <w:p>
      <w:pPr>
        <w:pStyle w:val="ListBullet"/>
        <w:spacing w:after="40"/>
        <w:ind w:left="317" w:hanging="202"/>
      </w:pPr>
      <w:r>
        <w:t>Have qualified stakeholders review applicable privacy/data-protection requirements, the interim 18+ self-declaration and any additional age-assurance requirements, data inventory, processors, hosting region, retention, deletion, and legal-hold process.</w:t>
      </w:r>
    </w:p>
    <w:p>
      <w:pPr>
        <w:pStyle w:val="ListBullet"/>
        <w:spacing w:after="40"/>
        <w:ind w:left="317" w:hanging="202"/>
      </w:pPr>
      <w:r>
        <w:t>Publish community and prohibited-favor rules, public-meetup guidance, emergency-service limitation, report categories, response hours/targets, escalation path, appeal process, and pause criteria.</w:t>
      </w:r>
    </w:p>
    <w:p>
      <w:pPr>
        <w:pStyle w:val="ListBullet"/>
        <w:spacing w:after="40"/>
        <w:ind w:left="317" w:hanging="202"/>
      </w:pPr>
      <w:r>
        <w:t>The product owner is initial moderator and will handle reports when available; confirm before invitations that a named backup can cover the agreed service hours and perform required interventions.</w:t>
      </w:r>
    </w:p>
    <w:p>
      <w:pPr>
        <w:keepLines/>
      </w:pPr>
      <w:r>
        <w:t>Exit gate  General account eligibility and the 18+ limit are defined, and age-assurance controls and review evidence are approved; Google/email-password account access and recovery are specified; public venues and quest categories are listed; moderation coverage and incident procedures have named owners; applicable privacy/data approvals are complete.</w:t>
      </w:r>
    </w:p>
    <w:p>
      <w:pPr>
        <w:keepLines/>
      </w:pPr>
      <w:r>
        <w:t>Depends on  Checkpoint 0 decisions and assigned privacy/local-operating reviewers. Resolve production and real-user release policies before CP9; unresolved hosting/privacy decisions may use development-only fixtures and configuration placeholders during build.</w:t>
      </w:r>
    </w:p>
    <w:p>
      <w:pPr>
        <w:keepLines/>
      </w:pPr>
      <w:r>
        <w:rPr>
          <w:b/>
          <w:color w:val="F45D4F"/>
        </w:rPr>
        <w:t xml:space="preserve">Traceability  </w:t>
      </w:r>
      <w:r>
        <w:t>SRD sections 2-3, 7-8, 10-11; Product and Technical Plan safety and operating model; Database Design Document retention/privacy controls.</w:t>
      </w:r>
    </w:p>
    <w:p>
      <w:pPr/>
      <w:r>
        <w:t>Current disposition  CP1 decision baseline updated with open access, Dubai Academic City, and Google/email-password sign-in. Student-status verification is not required for general access. The checkpoint gate is not passed: the legal sufficiency of interim self-declaration and any additional age-assurance controls, local boundary and venues, account-integrity controls, privacy review, and moderation backup/coverage remain open. The product owner is the initial primary moderator. The minimum age of 18 is decided. See the CP1 validation record.</w:t>
      </w:r>
    </w:p>
    <w:p>
      <w:pPr>
        <w:pStyle w:val="Heading1"/>
        <w:keepNext/>
      </w:pPr>
      <w:r>
        <w:t>Checkpoint 2  Accept the complete website build baseline</w:t>
      </w:r>
    </w:p>
    <w:p>
      <w:pPr>
        <w:keepLines/>
      </w:pPr>
      <w:r>
        <w:t>Purpose  Convert the accepted product requirements, design specification, and technical plan into one complete frontend and backend build baseline. External student testing follows completion and integration of the website.</w:t>
      </w:r>
    </w:p>
    <w:p>
      <w:pPr>
        <w:pStyle w:val="Heading2"/>
        <w:keepNext/>
      </w:pPr>
      <w:r>
        <w:t>Work and outputs</w:t>
      </w:r>
    </w:p>
    <w:p>
      <w:pPr>
        <w:pStyle w:val="ListBullet"/>
        <w:spacing w:after="40"/>
        <w:ind w:left="317" w:hanging="202"/>
      </w:pPr>
      <w:r>
        <w:t>Lock the functional scope and map every user-facing screen, backend service, data entity, authorization rule, and acceptance condition to the SRD and design specification. Keep the existing interaction decisions as the starting implementation baseline.</w:t>
      </w:r>
    </w:p>
    <w:p>
      <w:pPr>
        <w:pStyle w:val="ListBullet"/>
        <w:spacing w:after="40"/>
        <w:ind w:left="317" w:hanging="202"/>
      </w:pPr>
      <w:r>
        <w:t>Defer external user sessions until the complete website is integrated at Checkpoint 7. During build, developers may use synthetic accounts and data to verify implementation against the accepted flows; record product questions without treating internal checks as user validation.</w:t>
      </w:r>
    </w:p>
    <w:p>
      <w:pPr>
        <w:pStyle w:val="ListBullet"/>
        <w:spacing w:after="40"/>
        <w:ind w:left="317" w:hanging="202"/>
      </w:pPr>
      <w:r>
        <w:t>Record the agreed production experience: host approval is required for participation and chat opens only after acceptance; filters can combine categories and refinements; Mapbox is primary with Google Maps as the fallback and device location is optional; private meeting instructions are limited to the host and accepted participants; theme follows device appearance by default with a manual choice remembered across sessions; completed chats become read-only and hosts control recap sharing under consent rules; saved quests remain visible with closed, expired, or filled status and cannot be joined.</w:t>
      </w:r>
    </w:p>
    <w:p>
      <w:pPr>
        <w:pStyle w:val="ListBullet"/>
        <w:spacing w:after="40"/>
        <w:ind w:left="317" w:hanging="202"/>
      </w:pPr>
      <w:r>
        <w:t>Carry responsive and accessibility requirements into implementation: narrow mobile and desktop, keyboard focus and labels, contrast, reduced motion, map/list alternatives, and loading/error/empty/offline/upload states. Refine these requirements after the full-site user test at Checkpoint 8.</w:t>
      </w:r>
    </w:p>
    <w:p>
      <w:pPr>
        <w:pStyle w:val="ListBullet"/>
        <w:spacing w:after="40"/>
        <w:ind w:left="317" w:hanging="202"/>
      </w:pPr>
      <w:r>
        <w:t>Produce the frontend screen inventory and matching API/data-flow inventory mapped to functional requirements. Keep implementation assumptions, accepted decisions, and open CP1 release dependencies distinct.</w:t>
      </w:r>
    </w:p>
    <w:p>
      <w:pPr>
        <w:keepLines/>
      </w:pPr>
      <w:r>
        <w:t>Exit gate  Product owner and engineering lead accept the complete website build specification, frontend screen inventory, backend/API and data inventory, core authorization rules, and traceability to the SRD. This gate starts implementation; it does not represent user validation or production approval.</w:t>
      </w:r>
    </w:p>
    <w:p>
      <w:pPr>
        <w:keepLines/>
      </w:pPr>
      <w:r>
        <w:t>Depends on  Checkpoint 0 scope and initial policy inputs from Checkpoint 1. Use synthetic data for all development until the CP1 release gates are approved.</w:t>
      </w:r>
    </w:p>
    <w:p>
      <w:pPr>
        <w:keepLines/>
      </w:pPr>
      <w:r>
        <w:rPr>
          <w:b/>
          <w:color w:val="F45D4F"/>
        </w:rPr>
        <w:t xml:space="preserve">Traceability  </w:t>
      </w:r>
      <w:r>
        <w:t>UI/UX Design Specification journeys and acceptance checklist; SRD FR-009 to FR-066 and NFR-UX; prototype README limitations.</w:t>
      </w:r>
    </w:p>
    <w:p>
      <w:r>
        <w:t>Current disposition  The product owner accepted the CP2 product, design, and points baseline. The team is authorized to build the full website against it. External usability testing is moved to Checkpoint 8, after frontend/backend integration at Checkpoint 7. Development and staging remain synthetic-data environments while CP1 legal, age-assurance, privacy, hosting, venue, and moderation decisions are open.</w:t>
      </w:r>
    </w:p>
    <w:p>
      <w:pPr>
        <w:pStyle w:val="Heading1"/>
        <w:keepNext/>
      </w:pPr>
      <w:r>
        <w:t>Checkpoint 3  Build the application and platform foundation</w:t>
      </w:r>
    </w:p>
    <w:p>
      <w:pPr>
        <w:keepLines/>
      </w:pPr>
      <w:r>
        <w:t>Purpose  Establish the deployable frontend shell, backend services, data model, development workflow, and security foundations used by every later feature.</w:t>
      </w:r>
    </w:p>
    <w:p>
      <w:pPr>
        <w:pStyle w:val="Heading2"/>
        <w:keepNext/>
      </w:pPr>
      <w:r>
        <w:t>Work and outputs</w:t>
      </w:r>
    </w:p>
    <w:p>
      <w:pPr>
        <w:pStyle w:val="ListBullet"/>
        <w:spacing w:after="40"/>
        <w:ind w:left="317" w:hanging="202"/>
      </w:pPr>
      <w:r>
        <w:t>Set up source control, development and staging environments, deployment workflow, secrets management, encrypted connections, structured logs, error monitoring, and alerting. Prepare production configuration without enabling real registration or production data before CP1 gates pass.</w:t>
      </w:r>
    </w:p>
    <w:p>
      <w:pPr>
        <w:pStyle w:val="ListBullet"/>
        <w:spacing w:after="40"/>
        <w:ind w:left="317" w:hanging="202"/>
      </w:pPr>
      <w:r>
        <w:t>Provision PostgreSQL with PostGIS and versioned migrations. Define the backend API/service structure and core schemas for accounts, profiles, geographic areas, public meetup places, optional communities, categories, and audit records.</w:t>
      </w:r>
    </w:p>
    <w:p>
      <w:pPr>
        <w:pStyle w:val="ListBullet"/>
        <w:spacing w:after="40"/>
        <w:ind w:left="317" w:hanging="202"/>
      </w:pPr>
      <w:r>
        <w:t>Build the responsive frontend application shell, route/navigation structure, shared design tokens and components, form/error patterns, and sign-in/sign-up screens against a development-only identity flow. Implement server-side identity, account standing, account recovery, role boundaries, authorization, rate limits, and audit foundations. Keep production sign-up disabled until approved.</w:t>
      </w:r>
    </w:p>
    <w:p>
      <w:pPr>
        <w:pStyle w:val="ListBullet"/>
        <w:spacing w:after="40"/>
        <w:ind w:left="317" w:hanging="202"/>
      </w:pPr>
      <w:r>
        <w:t>Implement privacy-by-default storage: no live location history; private media storage design; retention fields and export/deletion workflow; data-minimized logging and analytics boundaries.</w:t>
      </w:r>
    </w:p>
    <w:p>
      <w:pPr>
        <w:pStyle w:val="ListBullet"/>
        <w:spacing w:after="40"/>
        <w:ind w:left="317" w:hanging="202"/>
      </w:pPr>
      <w:r>
        <w:t>Document backup and restore, data access, incident response, migration, and environment configuration procedures.</w:t>
      </w:r>
    </w:p>
    <w:p>
      <w:pPr>
        <w:keepLines/>
      </w:pPr>
      <w:r>
        <w:rPr>
          <w:b/>
          <w:color w:val="F45D4F"/>
        </w:rPr>
        <w:t xml:space="preserve">Exit gate  </w:t>
      </w:r>
      <w:r>
        <w:t>Engineering lead confirms the foundation is deployable and reviewable: migrations are repeatable; protected operations enforce authorization server-side; no secrets are shipped to clients; backups can be restored in a non-production environment; access, deletion, logging, and retention behaviors have documented owners.</w:t>
      </w:r>
    </w:p>
    <w:p>
      <w:pPr>
        <w:keepLines/>
      </w:pPr>
      <w:r>
        <w:t>Depends on  Checkpoint 0 and the accepted CP2 build baseline. Use synthetic identities and development configuration where CP1 hosting, age-assurance, retention, or privacy decisions remain open; do not enable production use.</w:t>
      </w:r>
    </w:p>
    <w:p>
      <w:pPr>
        <w:keepLines/>
      </w:pPr>
      <w:r>
        <w:rPr>
          <w:b/>
          <w:color w:val="F45D4F"/>
        </w:rPr>
        <w:t xml:space="preserve">Traceability  </w:t>
      </w:r>
      <w:r>
        <w:t>Database Design Document sections 3-8 and 10; SRD FR-001 to FR-008, NFR-SEC, NFR-OPS; prototype README hosting direction (a proposal to reassess against approved decisions).</w:t>
      </w:r>
    </w:p>
    <w:p>
      <w:r>
        <w:rPr/>
        <w:t>Current disposition  CP3 exit-gate criteria are met at the development-foundation level: the website application installs, typechecks, and builds; the local Supabase stack starts and the foundation migrations apply repeatably to a fresh database (verified via a full reset); row-level security and a moderation-only account-status guard were exercised against real requests; a development-only sign-in/sign-up flow works end to end with automatic profile provisioning; no secret reaches the client build; and setup, secrets, backup/restore, data access, incident response, and privacy-by-default design are documented under website/docs/. Docker access, previously denied, is now available in this workspace. Hosted deployment, Google sign-in, and feature-specific RLS for quests/chat/points remain open, deferred to CP1 hosting/privacy decisions and later checkpoints as scoped. See the CP3 record for full detail.</w:t>
      </w:r>
    </w:p>
    <w:p>
      <w:pPr>
        <w:pStyle w:val="Heading1"/>
        <w:keepNext/>
      </w:pPr>
      <w:r>
        <w:t>Checkpoint 4  Build discovery, quest creation, and participation</w:t>
      </w:r>
    </w:p>
    <w:p>
      <w:pPr>
        <w:keepLines/>
      </w:pPr>
      <w:r>
        <w:t>Purpose  Implement the main path from an authenticated eligible account holder</w:t>
      </w:r>
    </w:p>
    <w:p>
      <w:pPr>
        <w:pStyle w:val="Heading2"/>
        <w:keepNext/>
      </w:pPr>
      <w:r>
        <w:t>Work and outputs</w:t>
      </w:r>
    </w:p>
    <w:p>
      <w:pPr>
        <w:pStyle w:val="ListBullet"/>
        <w:spacing w:after="40"/>
        <w:ind w:left="317" w:hanging="202"/>
      </w:pPr>
      <w:r>
        <w:t>Frontend: implement the quest creation/editing form, quest cards, detail views, safety prompts, and status states. Backend: validate and persist type, category, description, schedule, duration, capacity, public place, cost/accessibility details, expiry, proof rule, and prohibited-favor guidance.</w:t>
      </w:r>
    </w:p>
    <w:p>
      <w:pPr>
        <w:pStyle w:val="ListBullet"/>
        <w:spacing w:after="40"/>
        <w:ind w:left="317" w:hanging="202"/>
      </w:pPr>
      <w:r>
        <w:t>Frontend: implement the launch-area map, equivalent list, combined filters, search, approximate pins, clustering, local-time display, and empty/loading/error states. Backend: implement area-scoped geospatial search, filtering, pagination, and approved-place lookup. Device location stays optional; no live user tracking.</w:t>
      </w:r>
    </w:p>
    <w:p>
      <w:pPr>
        <w:pStyle w:val="ListBullet"/>
        <w:spacing w:after="40"/>
        <w:ind w:left="317" w:hanging="202"/>
      </w:pPr>
      <w:r>
        <w:t>Backend: implement quest lifecycle, expiry, join requests, host acceptance/decline, withdrawal/leave, block and eligibility checks, duplicate prevention, and atomic capacity enforcement. Frontend: show request, pending, accepted, declined, full, cancelled, and expired states consistently.</w:t>
      </w:r>
    </w:p>
    <w:p>
      <w:pPr>
        <w:pStyle w:val="ListBullet"/>
        <w:spacing w:after="40"/>
        <w:ind w:left="317" w:hanging="202"/>
      </w:pPr>
      <w:r>
        <w:t>Frontend and backend: expose quest chat and private meeting instructions only after host acceptance. Enforce host/accepted-participant membership in every room read/send operation; pending requesters receive no access.</w:t>
      </w:r>
    </w:p>
    <w:p>
      <w:pPr>
        <w:pStyle w:val="ListBullet"/>
        <w:spacing w:after="40"/>
        <w:ind w:left="317" w:hanging="202"/>
      </w:pPr>
      <w:r>
        <w:t>Wire safe in-app notification states for quest and request changes without exposing private message text, private meeting instructions, or sensitive report detail.</w:t>
      </w:r>
    </w:p>
    <w:p>
      <w:pPr>
        <w:keepLines/>
      </w:pPr>
      <w:r>
        <w:t>Depends on  Checkpoint 3 foundation and the accepted CP2 baseline. Implement against approved CP1 rules; use development fixtures for unresolved place or operating configuration until CP1 approval.</w:t>
      </w:r>
    </w:p>
    <w:p>
      <w:pPr>
        <w:keepLines/>
      </w:pPr>
      <w:r>
        <w:rPr>
          <w:b/>
          <w:color w:val="F45D4F"/>
        </w:rPr>
        <w:t xml:space="preserve">Traceability  </w:t>
      </w:r>
      <w:r>
        <w:t>SRD FR-009 to FR-041, FR-053 to FR-057; Database Design Document quest/request/participant/room transaction model; UI/UX map, list, detail, and chat states.</w:t>
      </w:r>
    </w:p>
    <w:p>
      <w:pPr>
        <w:keepLines/>
      </w:pPr>
      <w:r>
        <w:rPr>
          <w:color w:val="F45D4F"/>
        </w:rPr>
        <w:t>Current disposition  CP4 exit-gate criteria are met at the development-foundation level: an authenticated account holder can post a quest, discover it, request to join, and reach a private quest room after host acceptance. Capacity, duplicate-request, self-join, and block checks are enforced server-side (row-level security plus security-definer functions with row locks), not only in the UI, and private meeting instructions and chat are unreachable before acceptance at the database layer. The full path was verified both against the local API directly and through a real Playwright-driven browser session. The operating area, meetup places, and categories are synthetic development fixtures, clearly labeled and not a reviewed-venue decision. A real map provider, reviewed public venues, reporting/blocking UI, and anything requiring a hosted environment remain open, deferred to CP1 decisions D-04/D-05 and later checkpoints as scoped. See the CP4 record for full detail.</w:t>
      </w:r>
      <w:r/>
    </w:p>
    <w:p>
      <w:pPr>
        <w:pStyle w:val="Heading1"/>
        <w:keepNext/>
      </w:pPr>
      <w:r>
        <w:t>Checkpoint 5  Build chat, completion, proof, points, and recaps</w:t>
      </w:r>
    </w:p>
    <w:p>
      <w:pPr>
        <w:keepLines/>
      </w:pPr>
      <w:r>
        <w:rPr>
          <w:b/>
          <w:color w:val="F45D4F"/>
        </w:rPr>
        <w:t xml:space="preserve">Purpose  </w:t>
      </w:r>
      <w:r>
        <w:t>Complete the core social loop with private coordination, fair completion decisions, auditable points, and consent-based recaps.</w:t>
      </w:r>
    </w:p>
    <w:p>
      <w:pPr>
        <w:pStyle w:val="Heading2"/>
        <w:keepNext/>
      </w:pPr>
      <w:r>
        <w:t>Work and outputs</w:t>
      </w:r>
    </w:p>
    <w:p>
      <w:pPr>
        <w:pStyle w:val="ListBullet"/>
        <w:spacing w:after="40"/>
        <w:ind w:left="317" w:hanging="202"/>
      </w:pPr>
      <w:r>
        <w:t>Frontend: implement inbox, accepted-quest rooms, read-only closed chats, completion prompts, proof and recap views. Backend: implement private realtime messaging, participant authorization, quest notices, report/block hooks, retention, and closure rules.</w:t>
      </w:r>
    </w:p>
    <w:p>
      <w:pPr>
        <w:pStyle w:val="ListBullet"/>
        <w:spacing w:after="40"/>
        <w:ind w:left="317" w:hanging="202"/>
      </w:pPr>
      <w:r>
        <w:t>Frontend and backend: implement private evidence upload, metadata stripping, completion submission, configured participant confirmation/dispute window, moderation hold, and final state transitions.</w:t>
      </w:r>
    </w:p>
    <w:p>
      <w:pPr>
        <w:pStyle w:val="ListBullet"/>
        <w:spacing w:after="40"/>
        <w:ind w:left="317" w:hanging="202"/>
      </w:pPr>
      <w:r>
        <w:t>Backend: implement the immutable, idempotent points ledger, four-week seasons, accepted activity/favor awards and daily cap, reasoned reversals, and opt-in top-10 rankings. Frontend: show private season progress and the public ranking only for opted-in users.</w:t>
      </w:r>
    </w:p>
    <w:p>
      <w:pPr>
        <w:pStyle w:val="ListBullet"/>
        <w:spacing w:after="40"/>
        <w:ind w:left="317" w:hanging="202"/>
      </w:pPr>
      <w:r>
        <w:t>Implement recap/feed sharing only after host selection and any required participant consent; keep evidence private by default.</w:t>
      </w:r>
    </w:p>
    <w:p>
      <w:pPr>
        <w:pStyle w:val="ListBullet"/>
        <w:spacing w:after="40"/>
        <w:ind w:left="317" w:hanging="202"/>
      </w:pPr>
      <w:r>
        <w:t>Implement user-configurable notifications and delivery through an idempotent outbox; ensure retries do not duplicate awards or state changes.</w:t>
      </w:r>
    </w:p>
    <w:p>
      <w:pPr>
        <w:keepLines/>
      </w:pPr>
      <w:r>
        <w:rPr>
          <w:b/>
          <w:color w:val="F45D4F"/>
        </w:rPr>
        <w:t xml:space="preserve">Exit gate  </w:t>
      </w:r>
      <w:r>
        <w:t>A quest can be completed only under its configured rule; disputes hold awards pending review; eligible awards post once with an audit trail; leaderboard opt-outs are respected; proof stays private unless explicit sharing and consent rules pass.</w:t>
      </w:r>
    </w:p>
    <w:p>
      <w:pPr>
        <w:keepLines/>
      </w:pPr>
      <w:r>
        <w:t>Depends on  Checkpoint 4 stable quest membership and room authorization. Implement policy configuration and retention controls for CP1 decisions; production settings remain disabled until approved.</w:t>
      </w:r>
    </w:p>
    <w:p>
      <w:pPr>
        <w:keepLines/>
      </w:pPr>
      <w:r>
        <w:rPr>
          <w:b/>
          <w:color w:val="F45D4F"/>
        </w:rPr>
        <w:t xml:space="preserve">Traceability  </w:t>
      </w:r>
      <w:r>
        <w:t>SRD FR-035 to FR-057, BR-03/05/07; Database Design Document sections 7-9, ledger and outbox; Product Plan completion and points flow.</w:t>
      </w:r>
    </w:p>
    <w:p>
      <w:pPr>
        <w:pStyle w:val="Heading1"/>
        <w:keepNext/>
      </w:pPr>
      <w:r>
        <w:t>Checkpoint 6  Build safety, moderation, and administration</w:t>
      </w:r>
    </w:p>
    <w:p>
      <w:pPr>
        <w:keepLines/>
      </w:pPr>
      <w:r>
        <w:rPr>
          <w:b/>
          <w:color w:val="F45D4F"/>
        </w:rPr>
        <w:t xml:space="preserve">Purpose  </w:t>
      </w:r>
      <w:r>
        <w:t>Give moderators and the product owner the controls and visibility needed to operate the closed pilot responsibly.</w:t>
      </w:r>
    </w:p>
    <w:p>
      <w:pPr>
        <w:pStyle w:val="Heading2"/>
        <w:keepNext/>
      </w:pPr>
      <w:r>
        <w:t>Work and outputs</w:t>
      </w:r>
    </w:p>
    <w:p>
      <w:pPr>
        <w:pStyle w:val="ListBullet"/>
        <w:spacing w:after="40"/>
        <w:ind w:left="317" w:hanging="202"/>
      </w:pPr>
      <w:r>
        <w:t>Frontend: build report/block flows and a restricted moderator case queue with assignment, filters, evidence access, actions, reasons, timestamps, and outcome receipts. Backend: implement report intake, case permissions, moderation actions, audit records, and notification of outcomes.</w:t>
      </w:r>
    </w:p>
    <w:p>
      <w:pPr>
        <w:pStyle w:val="ListBullet"/>
        <w:spacing w:after="40"/>
        <w:ind w:left="317" w:hanging="202"/>
      </w:pPr>
      <w:r>
        <w:t>Implement block behavior, content/quest hiding, account restrictions, quest closure, and emergency pause controls for registration and new posting across both client and API.</w:t>
      </w:r>
    </w:p>
    <w:p>
      <w:pPr>
        <w:pStyle w:val="ListBullet"/>
        <w:spacing w:after="40"/>
        <w:ind w:left="317" w:hanging="202"/>
      </w:pPr>
      <w:r>
        <w:t>Implement administrator controls for launch areas, optional communities, approved public places, categories, prohibited content, point seasons/caps, moderator permissions, quest expiry, and retention settings where approved.</w:t>
      </w:r>
    </w:p>
    <w:p>
      <w:pPr>
        <w:pStyle w:val="ListBullet"/>
        <w:spacing w:after="40"/>
        <w:ind w:left="317" w:hanging="202"/>
      </w:pPr>
      <w:r>
        <w:t>Build a data-minimized administrator dashboard for active users, quests, completion funnel, repeat use, report volume/severity/response, and technical reliability. Enforce least-privilege access to private content.</w:t>
      </w:r>
    </w:p>
    <w:p>
      <w:pPr>
        <w:pStyle w:val="ListBullet"/>
        <w:spacing w:after="40"/>
        <w:ind w:left="317" w:hanging="202"/>
      </w:pPr>
      <w:r>
        <w:t>Finalize moderator runbook, response target, escalation route, appeals, evidence access audit, and incident communication procedures.</w:t>
      </w:r>
    </w:p>
    <w:p>
      <w:pPr>
        <w:keepLines/>
      </w:pPr>
      <w:r>
        <w:rPr>
          <w:b/>
          <w:color w:val="F45D4F"/>
        </w:rPr>
        <w:t xml:space="preserve">Exit gate  </w:t>
      </w:r>
      <w:r>
        <w:t>Moderators can triage and act on a report end-to-end, block and restrict unsafe interactions, pause registration/posting, and audit privileged access. The product owner can review pilot health without access to unnecessary private chat, evidence, or precise location data.</w:t>
      </w:r>
    </w:p>
    <w:p>
      <w:pPr>
        <w:keepLines/>
      </w:pPr>
      <w:r>
        <w:t>Depends on  Checkpoints 3-5 and the CP1 policy baseline. Build moderator interface and controls in development; enable operational coverage only after named backup, service hours, response targets, and escalation are approved.</w:t>
      </w:r>
    </w:p>
    <w:p>
      <w:pPr>
        <w:keepLines/>
      </w:pPr>
      <w:r>
        <w:rPr>
          <w:b/>
          <w:color w:val="F45D4F"/>
        </w:rPr>
        <w:t xml:space="preserve">Traceability  </w:t>
      </w:r>
      <w:r>
        <w:t>SRD FR-058 to FR-066, NFR-OPS-04/05, NFR-SEC-06; Database Design Document trust/safety, audit, and observability guidance; Product Plan safety operations.</w:t>
      </w:r>
    </w:p>
    <w:p>
      <w:pPr>
        <w:pStyle w:val="Heading1"/>
        <w:keepNext/>
      </w:pPr>
      <w:r>
        <w:t>Checkpoint 7  Complete and internally verify the whole website</w:t>
      </w:r>
    </w:p>
    <w:p>
      <w:pPr>
        <w:keepLines/>
      </w:pPr>
      <w:r>
        <w:t>Purpose  Finish the end-to-end frontend and backend, connect every core flow to real development services, and complete internal technical acceptance before external user testing.</w:t>
      </w:r>
    </w:p>
    <w:p>
      <w:pPr>
        <w:pStyle w:val="Heading2"/>
        <w:keepNext/>
      </w:pPr>
      <w:r>
        <w:t>Work and outputs</w:t>
      </w:r>
    </w:p>
    <w:p>
      <w:pPr>
        <w:pStyle w:val="ListBullet"/>
        <w:spacing w:after="40"/>
        <w:ind w:left="317" w:hanging="202"/>
      </w:pPr>
      <w:r>
        <w:t>Integrate every required website area: account access and profile; map/list discovery; search/filters; quest creation; requests and host decisions; accepted-only chat; completion/proof; points/leaderboard; saved quests; feed/recap; reports/blocks; moderator console; notifications and settings.</w:t>
      </w:r>
    </w:p>
    <w:p>
      <w:pPr>
        <w:pStyle w:val="ListBullet"/>
        <w:spacing w:after="40"/>
        <w:ind w:left="317" w:hanging="202"/>
      </w:pPr>
      <w:r>
        <w:t>Run the documented internal acceptance and security scenarios across signed-out, eligible test, under-18 blocked, suspended, and optional-community-restricted test accounts. Verify authorization for quests, rooms, evidence, reports, admin actions, leaderboard privacy, blocks, geographic/community scope, and retries/idempotency.</w:t>
      </w:r>
    </w:p>
    <w:p>
      <w:pPr>
        <w:pStyle w:val="ListBullet"/>
        <w:spacing w:after="40"/>
        <w:ind w:left="317" w:hanging="202"/>
      </w:pPr>
      <w:r>
        <w:t>Verify full-site responsive mobile and desktop behavior, keyboard navigation, contrast, reduced motion, list alternative, Dubai-time display, Unicode, loading/errors, offline/empty states, and upload progress.</w:t>
      </w:r>
    </w:p>
    <w:p>
      <w:pPr>
        <w:pStyle w:val="ListBullet"/>
        <w:spacing w:after="40"/>
        <w:ind w:left="317" w:hanging="202"/>
      </w:pPr>
      <w:r>
        <w:t>Verify agreed search/API/message performance, load assumptions, availability, backup and restore, data export/deletion, retention configuration, secrets/configuration, incident pause, and moderator procedures in non-production.</w:t>
      </w:r>
    </w:p>
    <w:p>
      <w:pPr>
        <w:pStyle w:val="ListBullet"/>
        <w:spacing w:after="40"/>
        <w:ind w:left="317" w:hanging="202"/>
      </w:pPr>
      <w:r>
        <w:t>Complete restore rehearsal, data export/deletion and retention workflows, secrets/configuration check, incident pause exercise, and moderator tabletop review.</w:t>
      </w:r>
    </w:p>
    <w:p>
      <w:pPr>
        <w:pStyle w:val="ListBullet"/>
        <w:spacing w:after="40"/>
        <w:ind w:left="317" w:hanging="202"/>
      </w:pPr>
      <w:r>
        <w:t>Complete the internal full-site checklist and record defects by severity, owner, and resolution status. Keep these engineering checks separate from the external user evaluation in Checkpoint 8.</w:t>
      </w:r>
    </w:p>
    <w:p>
      <w:pPr>
        <w:keepLines/>
      </w:pPr>
      <w:r>
        <w:t>Exit gate  Engineering lead and product owner accept that the complete website works end to end in a non-production environment, all core frontend features are connected to backend services, access and privacy controls pass internal review, and no critical technical defect remains. This gate permits external user testing only; the pilot still requires Checkpoint 8 feedback and CP1 launch approvals.</w:t>
      </w:r>
    </w:p>
    <w:p>
      <w:pPr>
        <w:keepLines/>
      </w:pPr>
      <w:r>
        <w:t>Depends on  Checkpoints 2-7 implementation outputs and an integrated synthetic-data release candidate. CP1 approval is required for production registration, real-user data, and the pilot, not for internal development verification.</w:t>
      </w:r>
    </w:p>
    <w:p>
      <w:pPr>
        <w:keepLines/>
      </w:pPr>
      <w:r>
        <w:rPr>
          <w:b/>
          <w:color w:val="F45D4F"/>
        </w:rPr>
        <w:t xml:space="preserve">Traceability  </w:t>
      </w:r>
      <w:r>
        <w:t>SRD acceptance scenarios/release gates, NFRs; Database Design Document backup, recovery and observability; design acceptance checklist.</w:t>
      </w:r>
    </w:p>
    <w:p>
      <w:pPr>
        <w:pStyle w:val="Heading1"/>
        <w:keepNext/>
      </w:pPr>
      <w:r>
        <w:t>Checkpoint 8  Test the complete website with people and iterate</w:t>
      </w:r>
    </w:p>
    <w:p>
      <w:pPr>
        <w:keepLines/>
      </w:pPr>
      <w:r>
        <w:t>Purpose  Evaluate the integrated website with people after the full build. Observe real tasks, identify usability and trust problems, apply agreed changes, and re-check the affected flows before pilot launch.</w:t>
      </w:r>
    </w:p>
    <w:p>
      <w:pPr>
        <w:pStyle w:val="Heading2"/>
        <w:keepNext/>
      </w:pPr>
      <w:r>
        <w:t>Work and outputs</w:t>
      </w:r>
    </w:p>
    <w:p>
      <w:pPr>
        <w:pStyle w:val="ListBullet"/>
        <w:spacing w:after="40"/>
        <w:ind w:left="317" w:hanging="202"/>
      </w:pPr>
      <w:r>
        <w:t>Recruit five one-to-one adult student participants from at least two institutions for moderated usability sessions. Use a non-production environment, test accounts, and synthetic quests/places; obtain consent for observation and collect only the feedback needed to improve the product.</w:t>
      </w:r>
    </w:p>
    <w:p>
      <w:pPr>
        <w:pStyle w:val="ListBullet"/>
        <w:spacing w:after="40"/>
        <w:ind w:left="317" w:hanging="202"/>
      </w:pPr>
      <w:r>
        <w:t>Have each participant complete representative tasks across account entry, map/list discovery, combined filters, quest detail, request/approval, accepted chat, posting, completion, saved quests, profile/privacy, report/block, and accessibility controls. Record task outcomes and observed friction without treating the small sample as a launch safety study.</w:t>
      </w:r>
    </w:p>
    <w:p>
      <w:pPr>
        <w:pStyle w:val="ListBullet"/>
        <w:spacing w:after="40"/>
        <w:ind w:left="317" w:hanging="202"/>
      </w:pPr>
      <w:r>
        <w:t>Summarize issues by severity and affected screen/requirement. Prioritize safety, privacy, authorization, accessibility, and task-blocking issues before visual refinements; record decisions and owners.</w:t>
      </w:r>
    </w:p>
    <w:p>
      <w:pPr>
        <w:pStyle w:val="ListBullet"/>
        <w:spacing w:after="40"/>
        <w:ind w:left="317" w:hanging="202"/>
      </w:pPr>
      <w:r>
        <w:t>Implement accepted design changes, update the UI/UX and requirements documents, and re-run affected internal acceptance scenarios. Do not use these sessions as the public pilot or collect production account data.</w:t>
      </w:r>
    </w:p>
    <w:p>
      <w:pPr>
        <w:keepLines/>
      </w:pPr>
      <w:r>
        <w:t>Exit gate  Five sessions are complete, findings and design decisions are recorded, agreed high-priority fixes are implemented, affected flows are re-checked, and the product owner accepts the revised website for pilot-readiness review. Any unresolved critical safety, privacy, authorization, or accessibility issue blocks the next checkpoint.</w:t>
      </w:r>
    </w:p>
    <w:p>
      <w:pPr>
        <w:keepLines/>
      </w:pPr>
      <w:r>
        <w:t>Depends on  Checkpoint 7 complete integrated website; adult test participants, synthetic accounts/content, and an approved consent and feedback-handling procedure. CP1 launch approval is not replaced by usability findings.</w:t>
      </w:r>
    </w:p>
    <w:p>
      <w:pPr>
        <w:keepLines/>
      </w:pPr>
      <w:r>
        <w:t>Traceability  CP2 validation record; UI/UX specification; SRD usability, accessibility, privacy, and safety requirements.</w:t>
      </w:r>
    </w:p>
    <w:p>
      <w:pPr>
        <w:pStyle w:val="Heading1"/>
        <w:keepNext/>
      </w:pPr>
      <w:r>
        <w:t>Checkpoint 9  Run the independent local pilot and decide what follows</w:t>
      </w:r>
    </w:p>
    <w:p>
      <w:pPr>
        <w:keepLines/>
      </w:pPr>
      <w:r>
        <w:t>Purpose  Operate the approved four-week invited pilot in Dubai Academic City, then use pilot evidence to decide whether to stop, iterate, extend, or prepare a separately gated expansion.</w:t>
      </w:r>
    </w:p>
    <w:p>
      <w:pPr>
        <w:pStyle w:val="Heading2"/>
        <w:keepNext/>
      </w:pPr>
      <w:r>
        <w:t>Work and outputs</w:t>
      </w:r>
    </w:p>
    <w:p>
      <w:pPr>
        <w:pStyle w:val="ListBullet"/>
        <w:spacing w:after="40"/>
        <w:ind w:left="317" w:hanging="202"/>
      </w:pPr>
      <w:r>
        <w:t>Invite up to 20 adults using the approved sign-in, age, venue, and safety rules; invite up to 10 initially and up to 10 more after the first-week review only if moderation and safety reports remain manageable.</w:t>
      </w:r>
    </w:p>
    <w:p>
      <w:pPr>
        <w:pStyle w:val="ListBullet"/>
        <w:spacing w:after="40"/>
        <w:ind w:left="317" w:hanging="202"/>
      </w:pPr>
      <w:r>
        <w:t>Monitor completed quests, activation, join conversion, completion, repeat use, fairness, safety, moderation response, and technical reliability. Review participant feedback and incidents weekly.</w:t>
      </w:r>
    </w:p>
    <w:p>
      <w:pPr>
        <w:pStyle w:val="ListBullet"/>
        <w:spacing w:after="40"/>
        <w:ind w:left="317" w:hanging="202"/>
      </w:pPr>
      <w:r>
        <w:t>Prioritize pilot findings and record scope changes, owners, mitigation, and decisions across product, technical, data, moderation, and incident documents.</w:t>
      </w:r>
    </w:p>
    <w:p>
      <w:pPr>
        <w:pStyle w:val="ListBullet"/>
        <w:spacing w:after="40"/>
        <w:ind w:left="317" w:hanging="202"/>
      </w:pPr>
      <w:r>
        <w:t>Consider another area or optional community only after account onboarding, public-place configuration, moderator staffing, privacy/safety controls, and support procedures can be repeated.</w:t>
      </w:r>
    </w:p>
    <w:p>
      <w:pPr>
        <w:keepLines/>
      </w:pPr>
      <w:r>
        <w:t>Exit gate  At the end of four weeks, the product owner records a stop, extend, iterate, or expansion-preparation decision with evidence. No unresolved critical safety issue may remain; completion data must be interpretable; moderation must remain within agreed capacity. Expansion requires a separate release gate.</w:t>
      </w:r>
    </w:p>
    <w:p>
      <w:pPr>
        <w:keepLines/>
      </w:pPr>
      <w:r>
        <w:t>Depends on  Checkpoint 8 user-test findings accepted and fixes completed; CP1 launch approvals, signed Checkpoint 7 readiness evidence, moderator coverage, and pilot cohort confirmed.</w:t>
      </w:r>
    </w:p>
    <w:p>
      <w:pPr>
        <w:keepLines/>
      </w:pPr>
      <w:r>
        <w:t>Traceability  Product and Technical Plan four-week pilot and success measures; SRD analytics, risks, and release gates; CP8 user-test report.</w:t>
      </w:r>
    </w:p>
    <w:p>
      <w:pPr>
        <w:pStyle w:val="Heading1"/>
        <w:keepNext/>
      </w:pPr>
      <w:r>
        <w:t>Cross phase release gates</w:t>
      </w:r>
    </w:p>
    <w:p>
      <w:r>
        <w:t>The following conditions apply regardless of phase status. They are launch blockers whenever production registration or real user data is involved.</w:t>
      </w:r>
    </w:p>
    <w:p>
      <w:pPr>
        <w:pStyle w:val="ListBullet"/>
        <w:spacing w:after="40"/>
        <w:ind w:left="317" w:hanging="202"/>
      </w:pPr>
      <w:r>
        <w:t>Independent operation is clearly described. The initial pilot uses publicly accessible venues only; restricted and institution-controlled venues are excluded. Any later proposal requires documented permission and a separate review. No endorsement, branding, or integration is implied.</w:t>
      </w:r>
    </w:p>
    <w:p>
      <w:pPr>
        <w:pStyle w:val="ListBullet"/>
        <w:spacing w:after="40"/>
        <w:ind w:left="317" w:hanging="202"/>
      </w:pPr>
      <w:r>
        <w:t>General account eligibility, approved enforcement of the 18+ rule, privacy review,</w:t>
      </w:r>
    </w:p>
    <w:p>
      <w:pPr>
        <w:pStyle w:val="ListBullet"/>
        <w:spacing w:after="40"/>
        <w:ind w:left="317" w:hanging="202"/>
      </w:pPr>
      <w:r>
        <w:t>Moderator and backup coverage, report response target, escalation route, appeals, community rules, public-meetup guidance, and pause criteria are active.</w:t>
      </w:r>
    </w:p>
    <w:p>
      <w:pPr>
        <w:pStyle w:val="ListBullet"/>
        <w:spacing w:after="40"/>
        <w:ind w:left="317" w:hanging="202"/>
      </w:pPr>
      <w:r>
        <w:t>Backend authorization, evidence privacy, location protections, opt-in leaderboard, audit controls, backup/restore, and mobile accessibility are reviewed.</w:t>
      </w:r>
    </w:p>
    <w:p>
      <w:pPr>
        <w:pStyle w:val="ListBullet"/>
        <w:spacing w:after="40"/>
        <w:ind w:left="317" w:hanging="202"/>
      </w:pPr>
      <w:r>
        <w:t>Pilot size, support hours, performance/capacity targets, success measures, and stop/expansion criteria are documented.</w:t>
      </w:r>
    </w:p>
    <w:p>
      <w:pPr>
        <w:pStyle w:val="Heading1"/>
        <w:keepNext/>
      </w:pPr>
      <w:r>
        <w:t>Decision log to close before pilot</w:t>
      </w:r>
    </w:p>
    <w:tbl>
      <w:tblPr>
        <w:tblW w:type="auto" w:w="0"/>
        <w:jc w:val="center"/>
        <w:tblLayout w:type="fixed"/>
        <w:tblLook w:firstColumn="1" w:firstRow="1" w:lastColumn="0" w:lastRow="0" w:noHBand="0" w:noVBand="1" w:val="04A0"/>
      </w:tblPr>
      <w:tblGrid>
        <w:gridCol w:w="2088"/>
        <w:gridCol w:w="6552"/>
        <w:gridCol w:w="1512"/>
      </w:tblGrid>
      <w:tr>
        <w:trPr>
          <w:tblHeader w:val="true"/>
        </w:trPr>
        <w:tc>
          <w:tcPr>
            <w:tcW w:type="dxa" w:w="3331"/>
            <w:shd w:fill="14243A"/>
            <w:tcMar>
              <w:top w:w="90" w:type="dxa"/>
              <w:start w:w="110" w:type="dxa"/>
              <w:bottom w:w="90" w:type="dxa"/>
              <w:end w:w="110" w:type="dxa"/>
            </w:tcMar>
            <w:vAlign w:val="center"/>
          </w:tcPr>
          <w:p>
            <w:pPr>
              <w:spacing w:after="0"/>
            </w:pPr>
            <w:r>
              <w:rPr>
                <w:b/>
                <w:color w:val="FFFFFF"/>
                <w:sz w:val="17"/>
              </w:rPr>
              <w:t>Area</w:t>
            </w:r>
          </w:p>
        </w:tc>
        <w:tc>
          <w:tcPr>
            <w:tcW w:type="dxa" w:w="3331"/>
            <w:shd w:fill="14243A"/>
            <w:tcMar>
              <w:top w:w="90" w:type="dxa"/>
              <w:start w:w="110" w:type="dxa"/>
              <w:bottom w:w="90" w:type="dxa"/>
              <w:end w:w="110" w:type="dxa"/>
            </w:tcMar>
            <w:vAlign w:val="center"/>
          </w:tcPr>
          <w:p>
            <w:pPr>
              <w:spacing w:after="0"/>
            </w:pPr>
            <w:r>
              <w:rPr>
                <w:b/>
                <w:color w:val="FFFFFF"/>
                <w:sz w:val="17"/>
              </w:rPr>
              <w:t>Decision to record</w:t>
            </w:r>
          </w:p>
        </w:tc>
        <w:tc>
          <w:tcPr>
            <w:tcW w:type="dxa" w:w="3331"/>
            <w:shd w:fill="14243A"/>
            <w:tcMar>
              <w:top w:w="90" w:type="dxa"/>
              <w:start w:w="110" w:type="dxa"/>
              <w:bottom w:w="90" w:type="dxa"/>
              <w:end w:w="110" w:type="dxa"/>
            </w:tcMar>
            <w:vAlign w:val="center"/>
          </w:tcPr>
          <w:p>
            <w:pPr>
              <w:spacing w:after="0"/>
            </w:pPr>
            <w:r>
              <w:rPr>
                <w:b/>
                <w:color w:val="FFFFFF"/>
                <w:sz w:val="17"/>
              </w:rPr>
              <w:t>Target checkpoint</w:t>
            </w:r>
          </w:p>
        </w:tc>
      </w:tr>
      <w:tr>
        <w:tc>
          <w:tcPr>
            <w:tcW w:type="dxa" w:w="2088"/>
            <w:tcMar>
              <w:top w:w="90" w:type="dxa"/>
              <w:start w:w="110" w:type="dxa"/>
              <w:bottom w:w="90" w:type="dxa"/>
              <w:end w:w="110" w:type="dxa"/>
            </w:tcMar>
            <w:vAlign w:val="top"/>
          </w:tcPr>
          <w:p>
            <w:pPr>
              <w:spacing w:after="0" w:line="247" w:lineRule="auto"/>
            </w:pPr>
            <w:r>
              <w:rPr>
                <w:color w:val="14243A"/>
                <w:sz w:val="16"/>
              </w:rPr>
              <w:t>Eligibility</w:t>
            </w:r>
          </w:p>
        </w:tc>
        <w:tc>
          <w:tcPr>
            <w:tcW w:type="dxa" w:w="6552"/>
            <w:tcMar>
              <w:top w:w="90" w:type="dxa"/>
              <w:start w:w="110" w:type="dxa"/>
              <w:bottom w:w="90" w:type="dxa"/>
              <w:end w:w="110" w:type="dxa"/>
            </w:tcMar>
            <w:vAlign w:val="top"/>
          </w:tcPr>
          <w:p>
            <w:r>
              <w:t>Any account holder using Google/email-password, subject to the 18+ rule, account-standing, and safety rules; student status is not required. Optional community membership may restrict specific content.</w:t>
            </w:r>
          </w:p>
        </w:tc>
        <w:tc>
          <w:tcPr>
            <w:tcW w:type="dxa" w:w="1512"/>
            <w:tcMar>
              <w:top w:w="90" w:type="dxa"/>
              <w:start w:w="110" w:type="dxa"/>
              <w:bottom w:w="90" w:type="dxa"/>
              <w:end w:w="110" w:type="dxa"/>
            </w:tcMar>
            <w:vAlign w:val="top"/>
          </w:tcPr>
          <w:p>
            <w:pPr>
              <w:spacing w:after="0" w:line="247" w:lineRule="auto"/>
            </w:pPr>
            <w:r>
              <w:rPr>
                <w:color w:val="14243A"/>
                <w:sz w:val="16"/>
              </w:rPr>
              <w:t>Checkpoint 1</w:t>
            </w:r>
          </w:p>
        </w:tc>
      </w:tr>
      <w:tr>
        <w:tc>
          <w:tcPr>
            <w:tcW w:type="dxa" w:w="2088"/>
            <w:tcMar>
              <w:top w:w="90" w:type="dxa"/>
              <w:start w:w="110" w:type="dxa"/>
              <w:bottom w:w="90" w:type="dxa"/>
              <w:end w:w="110" w:type="dxa"/>
            </w:tcMar>
            <w:vAlign w:val="top"/>
            <w:shd w:fill="F7F9FB"/>
          </w:tcPr>
          <w:p>
            <w:r>
              <w:t>Optional institution-controlled resources</w:t>
            </w:r>
          </w:p>
        </w:tc>
        <w:tc>
          <w:tcPr>
            <w:tcW w:type="dxa" w:w="6552"/>
            <w:tcMar>
              <w:top w:w="90" w:type="dxa"/>
              <w:start w:w="110" w:type="dxa"/>
              <w:bottom w:w="90" w:type="dxa"/>
              <w:end w:w="110" w:type="dxa"/>
            </w:tcMar>
            <w:vAlign w:val="top"/>
            <w:shd w:fill="F7F9FB"/>
          </w:tcPr>
          <w:p>
            <w:r>
              <w:t>Permission for restricted venues, name/marks, official channels, or integrations if used.</w:t>
            </w:r>
          </w:p>
        </w:tc>
        <w:tc>
          <w:tcPr>
            <w:tcW w:type="dxa" w:w="1512"/>
            <w:tcMar>
              <w:top w:w="90" w:type="dxa"/>
              <w:start w:w="110" w:type="dxa"/>
              <w:bottom w:w="90" w:type="dxa"/>
              <w:end w:w="110" w:type="dxa"/>
            </w:tcMar>
            <w:vAlign w:val="top"/>
            <w:shd w:fill="F7F9FB"/>
          </w:tcPr>
          <w:p>
            <w:pPr>
              <w:spacing w:after="0" w:line="247" w:lineRule="auto"/>
            </w:pPr>
            <w:r>
              <w:rPr>
                <w:color w:val="14243A"/>
                <w:sz w:val="16"/>
              </w:rPr>
              <w:t>Checkpoint 1</w:t>
            </w:r>
          </w:p>
        </w:tc>
      </w:tr>
      <w:tr>
        <w:tc>
          <w:tcPr>
            <w:tcW w:type="dxa" w:w="2088"/>
            <w:tcMar>
              <w:top w:w="90" w:type="dxa"/>
              <w:start w:w="110" w:type="dxa"/>
              <w:bottom w:w="90" w:type="dxa"/>
              <w:end w:w="110" w:type="dxa"/>
            </w:tcMar>
            <w:vAlign w:val="top"/>
          </w:tcPr>
          <w:p>
            <w:pPr>
              <w:spacing w:after="0" w:line="247" w:lineRule="auto"/>
            </w:pPr>
            <w:r>
              <w:rPr>
                <w:color w:val="14243A"/>
                <w:sz w:val="16"/>
              </w:rPr>
              <w:t>Privacy and data</w:t>
            </w:r>
          </w:p>
        </w:tc>
        <w:tc>
          <w:tcPr>
            <w:tcW w:type="dxa" w:w="6552"/>
            <w:tcMar>
              <w:top w:w="90" w:type="dxa"/>
              <w:start w:w="110" w:type="dxa"/>
              <w:bottom w:w="90" w:type="dxa"/>
              <w:end w:w="110" w:type="dxa"/>
            </w:tcMar>
            <w:vAlign w:val="top"/>
          </w:tcPr>
          <w:p>
            <w:pPr>
              <w:spacing w:after="0" w:line="247" w:lineRule="auto"/>
            </w:pPr>
            <w:r>
              <w:rPr>
                <w:color w:val="14243A"/>
                <w:sz w:val="16"/>
              </w:rPr>
              <w:t>Applicable review, hosting region, processor list, retention, deletion, legal hold.</w:t>
            </w:r>
          </w:p>
        </w:tc>
        <w:tc>
          <w:tcPr>
            <w:tcW w:type="dxa" w:w="1512"/>
            <w:tcMar>
              <w:top w:w="90" w:type="dxa"/>
              <w:start w:w="110" w:type="dxa"/>
              <w:bottom w:w="90" w:type="dxa"/>
              <w:end w:w="110" w:type="dxa"/>
            </w:tcMar>
            <w:vAlign w:val="top"/>
          </w:tcPr>
          <w:p>
            <w:pPr>
              <w:spacing w:after="0" w:line="247" w:lineRule="auto"/>
            </w:pPr>
            <w:r>
              <w:rPr>
                <w:color w:val="14243A"/>
                <w:sz w:val="16"/>
              </w:rPr>
              <w:t>Checkpoint 1</w:t>
            </w:r>
          </w:p>
        </w:tc>
      </w:tr>
      <w:tr>
        <w:tc>
          <w:tcPr>
            <w:tcW w:type="dxa" w:w="2088"/>
            <w:tcMar>
              <w:top w:w="90" w:type="dxa"/>
              <w:start w:w="110" w:type="dxa"/>
              <w:bottom w:w="90" w:type="dxa"/>
              <w:end w:w="110" w:type="dxa"/>
            </w:tcMar>
            <w:vAlign w:val="top"/>
            <w:shd w:fill="F7F9FB"/>
          </w:tcPr>
          <w:p>
            <w:pPr>
              <w:spacing w:after="0" w:line="247" w:lineRule="auto"/>
            </w:pPr>
            <w:r>
              <w:rPr>
                <w:color w:val="14243A"/>
                <w:sz w:val="16"/>
              </w:rPr>
              <w:t>Safety operations</w:t>
            </w:r>
          </w:p>
        </w:tc>
        <w:tc>
          <w:tcPr>
            <w:tcW w:type="dxa" w:w="6552"/>
            <w:tcMar>
              <w:top w:w="90" w:type="dxa"/>
              <w:start w:w="110" w:type="dxa"/>
              <w:bottom w:w="90" w:type="dxa"/>
              <w:end w:w="110" w:type="dxa"/>
            </w:tcMar>
            <w:vAlign w:val="top"/>
            <w:shd w:fill="F7F9FB"/>
          </w:tcPr>
          <w:p>
            <w:pPr>
              <w:spacing w:after="0" w:line="247" w:lineRule="auto"/>
            </w:pPr>
            <w:r>
              <w:rPr>
                <w:color w:val="14243A"/>
                <w:sz w:val="16"/>
              </w:rPr>
              <w:t>Product owner as initial primary moderator; named backup, service hours, report target, escalation, appeal, pause rules.</w:t>
            </w:r>
          </w:p>
        </w:tc>
        <w:tc>
          <w:tcPr>
            <w:tcW w:type="dxa" w:w="1512"/>
            <w:tcMar>
              <w:top w:w="90" w:type="dxa"/>
              <w:start w:w="110" w:type="dxa"/>
              <w:bottom w:w="90" w:type="dxa"/>
              <w:end w:w="110" w:type="dxa"/>
            </w:tcMar>
            <w:vAlign w:val="top"/>
            <w:shd w:fill="F7F9FB"/>
          </w:tcPr>
          <w:p>
            <w:pPr>
              <w:spacing w:after="0" w:line="247" w:lineRule="auto"/>
            </w:pPr>
            <w:r>
              <w:rPr>
                <w:color w:val="14243A"/>
                <w:sz w:val="16"/>
              </w:rPr>
              <w:t>Checkpoint 1</w:t>
            </w:r>
          </w:p>
        </w:tc>
      </w:tr>
      <w:tr>
        <w:tc>
          <w:tcPr>
            <w:tcW w:type="dxa" w:w="2088"/>
            <w:tcMar>
              <w:top w:w="90" w:type="dxa"/>
              <w:start w:w="110" w:type="dxa"/>
              <w:bottom w:w="90" w:type="dxa"/>
              <w:end w:w="110" w:type="dxa"/>
            </w:tcMar>
            <w:vAlign w:val="top"/>
          </w:tcPr>
          <w:p>
            <w:pPr>
              <w:spacing w:after="0" w:line="247" w:lineRule="auto"/>
            </w:pPr>
            <w:r>
              <w:rPr>
                <w:color w:val="14243A"/>
                <w:sz w:val="16"/>
              </w:rPr>
              <w:t>Map and location</w:t>
            </w:r>
          </w:p>
        </w:tc>
        <w:tc>
          <w:tcPr>
            <w:tcW w:type="dxa" w:w="6552"/>
            <w:tcMar>
              <w:top w:w="90" w:type="dxa"/>
              <w:start w:w="110" w:type="dxa"/>
              <w:bottom w:w="90" w:type="dxa"/>
              <w:end w:w="110" w:type="dxa"/>
            </w:tcMar>
            <w:vAlign w:val="top"/>
          </w:tcPr>
          <w:p>
            <w:pPr>
              <w:spacing w:after="0" w:line="247" w:lineRule="auto"/>
            </w:pPr>
            <w:r>
              <w:rPr>
                <w:color w:val="14243A"/>
                <w:sz w:val="16"/>
              </w:rPr>
              <w:t>Provider and terms, approved venue anchors, map precision, optional device location.</w:t>
            </w:r>
          </w:p>
        </w:tc>
        <w:tc>
          <w:tcPr>
            <w:tcW w:type="dxa" w:w="1512"/>
            <w:tcMar>
              <w:top w:w="90" w:type="dxa"/>
              <w:start w:w="110" w:type="dxa"/>
              <w:bottom w:w="90" w:type="dxa"/>
              <w:end w:w="110" w:type="dxa"/>
            </w:tcMar>
            <w:vAlign w:val="top"/>
          </w:tcPr>
          <w:p>
            <w:pPr>
              <w:spacing w:after="0" w:line="247" w:lineRule="auto"/>
            </w:pPr>
            <w:r>
              <w:rPr>
                <w:color w:val="14243A"/>
                <w:sz w:val="16"/>
              </w:rPr>
              <w:t>Checkpoints 1-2</w:t>
            </w:r>
          </w:p>
        </w:tc>
      </w:tr>
      <w:tr>
        <w:tc>
          <w:tcPr>
            <w:tcW w:type="dxa" w:w="2088"/>
            <w:tcMar>
              <w:top w:w="90" w:type="dxa"/>
              <w:start w:w="110" w:type="dxa"/>
              <w:bottom w:w="90" w:type="dxa"/>
              <w:end w:w="110" w:type="dxa"/>
            </w:tcMar>
            <w:vAlign w:val="top"/>
            <w:shd w:fill="F7F9FB"/>
          </w:tcPr>
          <w:p>
            <w:pPr>
              <w:spacing w:after="0" w:line="247" w:lineRule="auto"/>
            </w:pPr>
            <w:r>
              <w:rPr>
                <w:color w:val="14243A"/>
                <w:sz w:val="16"/>
              </w:rPr>
              <w:t>Participation and chat</w:t>
            </w:r>
          </w:p>
        </w:tc>
        <w:tc>
          <w:tcPr>
            <w:tcW w:type="dxa" w:w="6552"/>
            <w:tcMar>
              <w:top w:w="90" w:type="dxa"/>
              <w:start w:w="110" w:type="dxa"/>
              <w:bottom w:w="90" w:type="dxa"/>
              <w:end w:w="110" w:type="dxa"/>
            </w:tcMar>
            <w:vAlign w:val="top"/>
            <w:shd w:fill="F7F9FB"/>
          </w:tcPr>
          <w:p>
            <w:pPr>
              <w:spacing w:after="0" w:line="247" w:lineRule="auto"/>
            </w:pPr>
            <w:r>
              <w:rPr>
                <w:color w:val="14243A"/>
                <w:sz w:val="16"/>
              </w:rPr>
              <w:t>Public or approval-based participation; acceptance point; leave/rejoin; closed chat access.</w:t>
            </w:r>
          </w:p>
        </w:tc>
        <w:tc>
          <w:tcPr>
            <w:tcW w:type="dxa" w:w="1512"/>
            <w:tcMar>
              <w:top w:w="90" w:type="dxa"/>
              <w:start w:w="110" w:type="dxa"/>
              <w:bottom w:w="90" w:type="dxa"/>
              <w:end w:w="110" w:type="dxa"/>
            </w:tcMar>
            <w:vAlign w:val="top"/>
            <w:shd w:fill="F7F9FB"/>
          </w:tcPr>
          <w:p>
            <w:pPr>
              <w:spacing w:after="0" w:line="247" w:lineRule="auto"/>
            </w:pPr>
            <w:r>
              <w:rPr>
                <w:color w:val="14243A"/>
                <w:sz w:val="16"/>
              </w:rPr>
              <w:t>Checkpoints 2-3</w:t>
            </w:r>
          </w:p>
        </w:tc>
      </w:tr>
      <w:tr>
        <w:tc>
          <w:tcPr>
            <w:tcW w:type="dxa" w:w="2088"/>
            <w:tcMar>
              <w:top w:w="90" w:type="dxa"/>
              <w:start w:w="110" w:type="dxa"/>
              <w:bottom w:w="90" w:type="dxa"/>
              <w:end w:w="110" w:type="dxa"/>
            </w:tcMar>
            <w:vAlign w:val="top"/>
          </w:tcPr>
          <w:p>
            <w:pPr>
              <w:spacing w:after="0" w:line="247" w:lineRule="auto"/>
            </w:pPr>
            <w:r>
              <w:rPr>
                <w:color w:val="14243A"/>
                <w:sz w:val="16"/>
              </w:rPr>
              <w:t>Completion and proof</w:t>
            </w:r>
          </w:p>
        </w:tc>
        <w:tc>
          <w:tcPr>
            <w:tcW w:type="dxa" w:w="6552"/>
            <w:tcMar>
              <w:top w:w="90" w:type="dxa"/>
              <w:start w:w="110" w:type="dxa"/>
              <w:bottom w:w="90" w:type="dxa"/>
              <w:end w:w="110" w:type="dxa"/>
            </w:tcMar>
            <w:vAlign w:val="top"/>
          </w:tcPr>
          <w:p>
            <w:pPr>
              <w:spacing w:after="0" w:line="247" w:lineRule="auto"/>
            </w:pPr>
            <w:r>
              <w:rPr>
                <w:color w:val="14243A"/>
                <w:sz w:val="16"/>
              </w:rPr>
              <w:t>Confirmation quorum, dispute window, evidence retention, consent and recap rules.</w:t>
            </w:r>
          </w:p>
        </w:tc>
        <w:tc>
          <w:tcPr>
            <w:tcW w:type="dxa" w:w="1512"/>
            <w:tcMar>
              <w:top w:w="90" w:type="dxa"/>
              <w:start w:w="110" w:type="dxa"/>
              <w:bottom w:w="90" w:type="dxa"/>
              <w:end w:w="110" w:type="dxa"/>
            </w:tcMar>
            <w:vAlign w:val="top"/>
          </w:tcPr>
          <w:p>
            <w:pPr>
              <w:spacing w:after="0" w:line="247" w:lineRule="auto"/>
            </w:pPr>
            <w:r>
              <w:rPr>
                <w:color w:val="14243A"/>
                <w:sz w:val="16"/>
              </w:rPr>
              <w:t>Checkpoints 1-2</w:t>
            </w:r>
          </w:p>
        </w:tc>
      </w:tr>
      <w:tr>
        <w:tc>
          <w:tcPr>
            <w:tcW w:type="dxa" w:w="2088"/>
            <w:tcMar>
              <w:top w:w="90" w:type="dxa"/>
              <w:start w:w="110" w:type="dxa"/>
              <w:bottom w:w="90" w:type="dxa"/>
              <w:end w:w="110" w:type="dxa"/>
            </w:tcMar>
            <w:vAlign w:val="top"/>
            <w:shd w:fill="F7F9FB"/>
          </w:tcPr>
          <w:p>
            <w:pPr>
              <w:spacing w:after="0" w:line="247" w:lineRule="auto"/>
            </w:pPr>
            <w:r>
              <w:rPr>
                <w:color w:val="14243A"/>
                <w:sz w:val="16"/>
              </w:rPr>
              <w:t>Points</w:t>
            </w:r>
          </w:p>
        </w:tc>
        <w:tc>
          <w:tcPr>
            <w:tcW w:type="dxa" w:w="6552"/>
            <w:tcMar>
              <w:top w:w="90" w:type="dxa"/>
              <w:start w:w="110" w:type="dxa"/>
              <w:bottom w:w="90" w:type="dxa"/>
              <w:end w:w="110" w:type="dxa"/>
            </w:tcMar>
            <w:vAlign w:val="top"/>
            <w:shd w:fill="F7F9FB"/>
          </w:tcPr>
          <w:p>
            <w:pPr>
              <w:spacing w:after="0" w:line="247" w:lineRule="auto"/>
            </w:pPr>
            <w:r>
              <w:rPr>
                <w:color w:val="14243A"/>
                <w:sz w:val="16"/>
              </w:rPr>
              <w:t>Season dates, award rules, caps, adjustment review, leaderboard opt-in presentation.</w:t>
            </w:r>
          </w:p>
        </w:tc>
        <w:tc>
          <w:tcPr>
            <w:tcW w:type="dxa" w:w="1512"/>
            <w:tcMar>
              <w:top w:w="90" w:type="dxa"/>
              <w:start w:w="110" w:type="dxa"/>
              <w:bottom w:w="90" w:type="dxa"/>
              <w:end w:w="110" w:type="dxa"/>
            </w:tcMar>
            <w:vAlign w:val="top"/>
            <w:shd w:fill="F7F9FB"/>
          </w:tcPr>
          <w:p>
            <w:pPr>
              <w:spacing w:after="0" w:line="247" w:lineRule="auto"/>
            </w:pPr>
            <w:r>
              <w:rPr>
                <w:color w:val="14243A"/>
                <w:sz w:val="16"/>
              </w:rPr>
              <w:t>Checkpoint 2</w:t>
            </w:r>
          </w:p>
        </w:tc>
      </w:tr>
      <w:tr>
        <w:tc>
          <w:tcPr>
            <w:tcW w:type="dxa" w:w="2088"/>
            <w:tcMar>
              <w:top w:w="90" w:type="dxa"/>
              <w:start w:w="110" w:type="dxa"/>
              <w:bottom w:w="90" w:type="dxa"/>
              <w:end w:w="110" w:type="dxa"/>
            </w:tcMar>
            <w:vAlign w:val="top"/>
          </w:tcPr>
          <w:p>
            <w:pPr>
              <w:spacing w:after="0" w:line="247" w:lineRule="auto"/>
            </w:pPr>
            <w:r>
              <w:rPr>
                <w:color w:val="14243A"/>
                <w:sz w:val="16"/>
              </w:rPr>
              <w:t>UX behavior</w:t>
            </w:r>
          </w:p>
        </w:tc>
        <w:tc>
          <w:tcPr>
            <w:tcW w:type="dxa" w:w="6552"/>
            <w:tcMar>
              <w:top w:w="90" w:type="dxa"/>
              <w:start w:w="110" w:type="dxa"/>
              <w:bottom w:w="90" w:type="dxa"/>
              <w:end w:w="110" w:type="dxa"/>
            </w:tcMar>
            <w:vAlign w:val="top"/>
          </w:tcPr>
          <w:p>
            <w:pPr>
              <w:spacing w:after="0" w:line="247" w:lineRule="auto"/>
            </w:pPr>
            <w:r>
              <w:rPr>
                <w:color w:val="14243A"/>
                <w:sz w:val="16"/>
              </w:rPr>
              <w:t>Filter combination, theme trigger/persistence, saved quest and completed recap/chat behavior.</w:t>
            </w:r>
          </w:p>
        </w:tc>
        <w:tc>
          <w:tcPr>
            <w:tcW w:type="dxa" w:w="1512"/>
            <w:tcMar>
              <w:top w:w="90" w:type="dxa"/>
              <w:start w:w="110" w:type="dxa"/>
              <w:bottom w:w="90" w:type="dxa"/>
              <w:end w:w="110" w:type="dxa"/>
            </w:tcMar>
            <w:vAlign w:val="top"/>
          </w:tcPr>
          <w:p>
            <w:pPr>
              <w:spacing w:after="0" w:line="247" w:lineRule="auto"/>
            </w:pPr>
            <w:r>
              <w:rPr>
                <w:color w:val="14243A"/>
                <w:sz w:val="16"/>
              </w:rPr>
              <w:t>Checkpoint 2</w:t>
            </w:r>
          </w:p>
        </w:tc>
      </w:tr>
      <w:tr>
        <w:tc>
          <w:tcPr>
            <w:tcW w:type="dxa" w:w="2088"/>
            <w:tcMar>
              <w:top w:w="90" w:type="dxa"/>
              <w:start w:w="110" w:type="dxa"/>
              <w:bottom w:w="90" w:type="dxa"/>
              <w:end w:w="110" w:type="dxa"/>
            </w:tcMar>
            <w:vAlign w:val="top"/>
            <w:shd w:fill="F7F9FB"/>
          </w:tcPr>
          <w:p>
            <w:pPr>
              <w:spacing w:after="0" w:line="247" w:lineRule="auto"/>
            </w:pPr>
            <w:r>
              <w:rPr>
                <w:color w:val="14243A"/>
                <w:sz w:val="16"/>
              </w:rPr>
              <w:t>Pilot operation</w:t>
            </w:r>
          </w:p>
        </w:tc>
        <w:tc>
          <w:tcPr>
            <w:tcW w:type="dxa" w:w="6552"/>
            <w:tcMar>
              <w:top w:w="90" w:type="dxa"/>
              <w:start w:w="110" w:type="dxa"/>
              <w:bottom w:w="90" w:type="dxa"/>
              <w:end w:w="110" w:type="dxa"/>
            </w:tcMar>
            <w:vAlign w:val="top"/>
            <w:shd w:fill="F7F9FB"/>
          </w:tcPr>
          <w:p>
            <w:pPr>
              <w:spacing w:after="0" w:line="247" w:lineRule="auto"/>
            </w:pPr>
            <w:r>
              <w:rPr>
                <w:color w:val="14243A"/>
                <w:sz w:val="16"/>
              </w:rPr>
              <w:t>Cohort/load target, pilot success thresholds, support hours, stop/extend/expand criteria.</w:t>
            </w:r>
          </w:p>
        </w:tc>
        <w:tc>
          <w:tcPr>
            <w:tcW w:type="dxa" w:w="1512"/>
            <w:tcMar>
              <w:top w:w="90" w:type="dxa"/>
              <w:start w:w="110" w:type="dxa"/>
              <w:bottom w:w="90" w:type="dxa"/>
              <w:end w:w="110" w:type="dxa"/>
            </w:tcMar>
            <w:vAlign w:val="top"/>
            <w:shd w:fill="F7F9FB"/>
          </w:tcPr>
          <w:p>
            <w:r>
              <w:t>Checkpoints 0 and 9</w:t>
            </w:r>
          </w:p>
        </w:tc>
      </w:tr>
      <w:tr>
        <w:tc>
          <w:tcPr>
            <w:tcW w:type="dxa" w:w="2088"/>
          </w:tcPr>
          <w:p>
            <w:r>
              <w:t>Account authentication</w:t>
            </w:r>
          </w:p>
        </w:tc>
        <w:tc>
          <w:tcPr>
            <w:tcW w:type="dxa" w:w="6552"/>
          </w:tcPr>
          <w:p>
            <w:r>
              <w:t>Google sign-in or email/password through Supabase Auth Free initially, subject to quotas; require email confirmation for password accounts and configure production SMTP, recovery, linking, and duplicate-account rules.</w:t>
            </w:r>
          </w:p>
        </w:tc>
        <w:tc>
          <w:tcPr>
            <w:tcW w:type="dxa" w:w="1512"/>
          </w:tcPr>
          <w:p>
            <w:r>
              <w:t>Checkpoint 1</w:t>
            </w:r>
          </w:p>
        </w:tc>
      </w:tr>
    </w:tbl>
    <w:p>
      <w:pPr>
        <w:spacing w:after="0"/>
      </w:pPr>
    </w:p>
    <w:p>
      <w:pPr>
        <w:pStyle w:val="Heading1"/>
        <w:keepNext/>
      </w:pPr>
      <w:r>
        <w:t>Requirement traceability guide</w:t>
      </w:r>
    </w:p>
    <w:tbl>
      <w:tblPr>
        <w:tblW w:type="auto" w:w="0"/>
        <w:jc w:val="center"/>
        <w:tblLayout w:type="fixed"/>
        <w:tblLook w:firstColumn="1" w:firstRow="1" w:lastColumn="0" w:lastRow="0" w:noHBand="0" w:noVBand="1" w:val="04A0"/>
      </w:tblPr>
      <w:tblGrid>
        <w:gridCol w:w="3168"/>
        <w:gridCol w:w="1584"/>
        <w:gridCol w:w="5400"/>
      </w:tblGrid>
      <w:tr>
        <w:trPr>
          <w:tblHeader w:val="true"/>
        </w:trPr>
        <w:tc>
          <w:tcPr>
            <w:tcW w:type="dxa" w:w="3331"/>
            <w:shd w:fill="14243A"/>
            <w:tcMar>
              <w:top w:w="90" w:type="dxa"/>
              <w:start w:w="110" w:type="dxa"/>
              <w:bottom w:w="90" w:type="dxa"/>
              <w:end w:w="110" w:type="dxa"/>
            </w:tcMar>
            <w:vAlign w:val="center"/>
          </w:tcPr>
          <w:p>
            <w:pPr>
              <w:spacing w:after="0"/>
            </w:pPr>
            <w:r>
              <w:rPr>
                <w:b/>
                <w:color w:val="FFFFFF"/>
                <w:sz w:val="17"/>
              </w:rPr>
              <w:t>Requirement area</w:t>
            </w:r>
          </w:p>
        </w:tc>
        <w:tc>
          <w:tcPr>
            <w:tcW w:type="dxa" w:w="3331"/>
            <w:shd w:fill="14243A"/>
            <w:tcMar>
              <w:top w:w="90" w:type="dxa"/>
              <w:start w:w="110" w:type="dxa"/>
              <w:bottom w:w="90" w:type="dxa"/>
              <w:end w:w="110" w:type="dxa"/>
            </w:tcMar>
            <w:vAlign w:val="center"/>
          </w:tcPr>
          <w:p>
            <w:pPr>
              <w:spacing w:after="0"/>
            </w:pPr>
            <w:r>
              <w:rPr>
                <w:b/>
                <w:color w:val="FFFFFF"/>
                <w:sz w:val="17"/>
              </w:rPr>
              <w:t>Checkpoints</w:t>
            </w:r>
          </w:p>
        </w:tc>
        <w:tc>
          <w:tcPr>
            <w:tcW w:type="dxa" w:w="3331"/>
            <w:shd w:fill="14243A"/>
            <w:tcMar>
              <w:top w:w="90" w:type="dxa"/>
              <w:start w:w="110" w:type="dxa"/>
              <w:bottom w:w="90" w:type="dxa"/>
              <w:end w:w="110" w:type="dxa"/>
            </w:tcMar>
            <w:vAlign w:val="center"/>
          </w:tcPr>
          <w:p>
            <w:pPr>
              <w:spacing w:after="0"/>
            </w:pPr>
            <w:r>
              <w:rPr>
                <w:b/>
                <w:color w:val="FFFFFF"/>
                <w:sz w:val="17"/>
              </w:rPr>
              <w:t>Source references</w:t>
            </w:r>
          </w:p>
        </w:tc>
      </w:tr>
      <w:tr>
        <w:tc>
          <w:tcPr>
            <w:tcW w:type="dxa" w:w="3168"/>
            <w:tcMar>
              <w:top w:w="90" w:type="dxa"/>
              <w:start w:w="110" w:type="dxa"/>
              <w:bottom w:w="90" w:type="dxa"/>
              <w:end w:w="110" w:type="dxa"/>
            </w:tcMar>
            <w:vAlign w:val="top"/>
          </w:tcPr>
          <w:p>
            <w:pPr>
              <w:spacing w:after="0" w:line="247" w:lineRule="auto"/>
            </w:pPr>
            <w:r>
              <w:rPr>
                <w:color w:val="14243A"/>
                <w:sz w:val="16"/>
              </w:rPr>
              <w:t>Identity and profiles</w:t>
            </w:r>
          </w:p>
        </w:tc>
        <w:tc>
          <w:tcPr>
            <w:tcW w:type="dxa" w:w="1584"/>
            <w:tcMar>
              <w:top w:w="90" w:type="dxa"/>
              <w:start w:w="110" w:type="dxa"/>
              <w:bottom w:w="90" w:type="dxa"/>
              <w:end w:w="110" w:type="dxa"/>
            </w:tcMar>
            <w:vAlign w:val="top"/>
          </w:tcPr>
          <w:p>
            <w:pPr>
              <w:spacing w:after="0" w:line="247" w:lineRule="auto"/>
            </w:pPr>
            <w:r>
              <w:rPr>
                <w:color w:val="14243A"/>
                <w:sz w:val="16"/>
              </w:rPr>
              <w:t>0-3</w:t>
            </w:r>
          </w:p>
        </w:tc>
        <w:tc>
          <w:tcPr>
            <w:tcW w:type="dxa" w:w="5400"/>
            <w:tcMar>
              <w:top w:w="90" w:type="dxa"/>
              <w:start w:w="110" w:type="dxa"/>
              <w:bottom w:w="90" w:type="dxa"/>
              <w:end w:w="110" w:type="dxa"/>
            </w:tcMar>
            <w:vAlign w:val="top"/>
          </w:tcPr>
          <w:p>
            <w:pPr>
              <w:spacing w:after="0" w:line="247" w:lineRule="auto"/>
            </w:pPr>
            <w:r>
              <w:rPr>
                <w:color w:val="14243A"/>
                <w:sz w:val="16"/>
              </w:rPr>
              <w:t>FR-001 to FR-008; NFR-SEC-02/03/07</w:t>
            </w:r>
          </w:p>
        </w:tc>
      </w:tr>
      <w:tr>
        <w:tc>
          <w:tcPr>
            <w:tcW w:type="dxa" w:w="3168"/>
            <w:tcMar>
              <w:top w:w="90" w:type="dxa"/>
              <w:start w:w="110" w:type="dxa"/>
              <w:bottom w:w="90" w:type="dxa"/>
              <w:end w:w="110" w:type="dxa"/>
            </w:tcMar>
            <w:vAlign w:val="top"/>
            <w:shd w:fill="F7F9FB"/>
          </w:tcPr>
          <w:p>
            <w:pPr>
              <w:spacing w:after="0" w:line="247" w:lineRule="auto"/>
            </w:pPr>
            <w:r>
              <w:rPr>
                <w:color w:val="14243A"/>
                <w:sz w:val="16"/>
              </w:rPr>
              <w:t>Quest lifecycle and discovery</w:t>
            </w:r>
          </w:p>
        </w:tc>
        <w:tc>
          <w:tcPr>
            <w:tcW w:type="dxa" w:w="1584"/>
            <w:tcMar>
              <w:top w:w="90" w:type="dxa"/>
              <w:start w:w="110" w:type="dxa"/>
              <w:bottom w:w="90" w:type="dxa"/>
              <w:end w:w="110" w:type="dxa"/>
            </w:tcMar>
            <w:vAlign w:val="top"/>
            <w:shd w:fill="F7F9FB"/>
          </w:tcPr>
          <w:p>
            <w:pPr>
              <w:spacing w:after="0" w:line="247" w:lineRule="auto"/>
            </w:pPr>
            <w:r>
              <w:rPr>
                <w:color w:val="14243A"/>
                <w:sz w:val="16"/>
              </w:rPr>
              <w:t>2-4</w:t>
            </w:r>
          </w:p>
        </w:tc>
        <w:tc>
          <w:tcPr>
            <w:tcW w:type="dxa" w:w="5400"/>
            <w:tcMar>
              <w:top w:w="90" w:type="dxa"/>
              <w:start w:w="110" w:type="dxa"/>
              <w:bottom w:w="90" w:type="dxa"/>
              <w:end w:w="110" w:type="dxa"/>
            </w:tcMar>
            <w:vAlign w:val="top"/>
            <w:shd w:fill="F7F9FB"/>
          </w:tcPr>
          <w:p>
            <w:pPr>
              <w:spacing w:after="0" w:line="247" w:lineRule="auto"/>
            </w:pPr>
            <w:r>
              <w:rPr>
                <w:color w:val="14243A"/>
                <w:sz w:val="16"/>
              </w:rPr>
              <w:t>FR-009 to FR-034; NFR-UX-01/02/04/05</w:t>
            </w:r>
          </w:p>
        </w:tc>
      </w:tr>
      <w:tr>
        <w:tc>
          <w:tcPr>
            <w:tcW w:type="dxa" w:w="3168"/>
            <w:tcMar>
              <w:top w:w="90" w:type="dxa"/>
              <w:start w:w="110" w:type="dxa"/>
              <w:bottom w:w="90" w:type="dxa"/>
              <w:end w:w="110" w:type="dxa"/>
            </w:tcMar>
            <w:vAlign w:val="top"/>
          </w:tcPr>
          <w:p>
            <w:pPr>
              <w:spacing w:after="0" w:line="247" w:lineRule="auto"/>
            </w:pPr>
            <w:r>
              <w:rPr>
                <w:color w:val="14243A"/>
                <w:sz w:val="16"/>
              </w:rPr>
              <w:t>Rooms and messaging</w:t>
            </w:r>
          </w:p>
        </w:tc>
        <w:tc>
          <w:tcPr>
            <w:tcW w:type="dxa" w:w="1584"/>
            <w:tcMar>
              <w:top w:w="90" w:type="dxa"/>
              <w:start w:w="110" w:type="dxa"/>
              <w:bottom w:w="90" w:type="dxa"/>
              <w:end w:w="110" w:type="dxa"/>
            </w:tcMar>
            <w:vAlign w:val="top"/>
          </w:tcPr>
          <w:p>
            <w:r>
              <w:t>3-5</w:t>
            </w:r>
          </w:p>
        </w:tc>
        <w:tc>
          <w:tcPr>
            <w:tcW w:type="dxa" w:w="5400"/>
            <w:tcMar>
              <w:top w:w="90" w:type="dxa"/>
              <w:start w:w="110" w:type="dxa"/>
              <w:bottom w:w="90" w:type="dxa"/>
              <w:end w:w="110" w:type="dxa"/>
            </w:tcMar>
            <w:vAlign w:val="top"/>
          </w:tcPr>
          <w:p>
            <w:pPr>
              <w:spacing w:after="0" w:line="247" w:lineRule="auto"/>
            </w:pPr>
            <w:r>
              <w:rPr>
                <w:color w:val="14243A"/>
                <w:sz w:val="16"/>
              </w:rPr>
              <w:t>FR-035 to FR-041; NFR-PERF-03</w:t>
            </w:r>
          </w:p>
        </w:tc>
      </w:tr>
      <w:tr>
        <w:tc>
          <w:tcPr>
            <w:tcW w:type="dxa" w:w="3168"/>
            <w:tcMar>
              <w:top w:w="90" w:type="dxa"/>
              <w:start w:w="110" w:type="dxa"/>
              <w:bottom w:w="90" w:type="dxa"/>
              <w:end w:w="110" w:type="dxa"/>
            </w:tcMar>
            <w:vAlign w:val="top"/>
            <w:shd w:fill="F7F9FB"/>
          </w:tcPr>
          <w:p>
            <w:pPr>
              <w:spacing w:after="0" w:line="247" w:lineRule="auto"/>
            </w:pPr>
            <w:r>
              <w:rPr>
                <w:color w:val="14243A"/>
                <w:sz w:val="16"/>
              </w:rPr>
              <w:t>Completion, evidence and points</w:t>
            </w:r>
          </w:p>
        </w:tc>
        <w:tc>
          <w:tcPr>
            <w:tcW w:type="dxa" w:w="1584"/>
            <w:tcMar>
              <w:top w:w="90" w:type="dxa"/>
              <w:start w:w="110" w:type="dxa"/>
              <w:bottom w:w="90" w:type="dxa"/>
              <w:end w:w="110" w:type="dxa"/>
            </w:tcMar>
            <w:vAlign w:val="top"/>
            <w:shd w:fill="F7F9FB"/>
          </w:tcPr>
          <w:p>
            <w:pPr>
              <w:spacing w:after="0" w:line="247" w:lineRule="auto"/>
            </w:pPr>
            <w:r>
              <w:rPr>
                <w:color w:val="14243A"/>
                <w:sz w:val="16"/>
              </w:rPr>
              <w:t>1, 3, 5</w:t>
            </w:r>
          </w:p>
        </w:tc>
        <w:tc>
          <w:tcPr>
            <w:tcW w:type="dxa" w:w="5400"/>
            <w:tcMar>
              <w:top w:w="90" w:type="dxa"/>
              <w:start w:w="110" w:type="dxa"/>
              <w:bottom w:w="90" w:type="dxa"/>
              <w:end w:w="110" w:type="dxa"/>
            </w:tcMar>
            <w:vAlign w:val="top"/>
            <w:shd w:fill="F7F9FB"/>
          </w:tcPr>
          <w:p>
            <w:pPr>
              <w:spacing w:after="0" w:line="247" w:lineRule="auto"/>
            </w:pPr>
            <w:r>
              <w:rPr>
                <w:color w:val="14243A"/>
                <w:sz w:val="16"/>
              </w:rPr>
              <w:t>FR-042 to FR-052; BR-03/05/07; NFR-SEC-04</w:t>
            </w:r>
          </w:p>
        </w:tc>
      </w:tr>
      <w:tr>
        <w:tc>
          <w:tcPr>
            <w:tcW w:type="dxa" w:w="3168"/>
            <w:tcMar>
              <w:top w:w="90" w:type="dxa"/>
              <w:start w:w="110" w:type="dxa"/>
              <w:bottom w:w="90" w:type="dxa"/>
              <w:end w:w="110" w:type="dxa"/>
            </w:tcMar>
            <w:vAlign w:val="top"/>
          </w:tcPr>
          <w:p>
            <w:pPr>
              <w:spacing w:after="0" w:line="247" w:lineRule="auto"/>
            </w:pPr>
            <w:r>
              <w:rPr>
                <w:color w:val="14243A"/>
                <w:sz w:val="16"/>
              </w:rPr>
              <w:t>Feed and notifications</w:t>
            </w:r>
          </w:p>
        </w:tc>
        <w:tc>
          <w:tcPr>
            <w:tcW w:type="dxa" w:w="1584"/>
            <w:tcMar>
              <w:top w:w="90" w:type="dxa"/>
              <w:start w:w="110" w:type="dxa"/>
              <w:bottom w:w="90" w:type="dxa"/>
              <w:end w:w="110" w:type="dxa"/>
            </w:tcMar>
            <w:vAlign w:val="top"/>
          </w:tcPr>
          <w:p>
            <w:r>
              <w:t>4-6</w:t>
            </w:r>
          </w:p>
        </w:tc>
        <w:tc>
          <w:tcPr>
            <w:tcW w:type="dxa" w:w="5400"/>
            <w:tcMar>
              <w:top w:w="90" w:type="dxa"/>
              <w:start w:w="110" w:type="dxa"/>
              <w:bottom w:w="90" w:type="dxa"/>
              <w:end w:w="110" w:type="dxa"/>
            </w:tcMar>
            <w:vAlign w:val="top"/>
          </w:tcPr>
          <w:p>
            <w:pPr>
              <w:spacing w:after="0" w:line="247" w:lineRule="auto"/>
            </w:pPr>
            <w:r>
              <w:rPr>
                <w:color w:val="14243A"/>
                <w:sz w:val="16"/>
              </w:rPr>
              <w:t>FR-053 to FR-057</w:t>
            </w:r>
          </w:p>
        </w:tc>
      </w:tr>
      <w:tr>
        <w:tc>
          <w:tcPr>
            <w:tcW w:type="dxa" w:w="3168"/>
            <w:tcMar>
              <w:top w:w="90" w:type="dxa"/>
              <w:start w:w="110" w:type="dxa"/>
              <w:bottom w:w="90" w:type="dxa"/>
              <w:end w:w="110" w:type="dxa"/>
            </w:tcMar>
            <w:vAlign w:val="top"/>
            <w:shd w:fill="F7F9FB"/>
          </w:tcPr>
          <w:p>
            <w:pPr>
              <w:spacing w:after="0" w:line="247" w:lineRule="auto"/>
            </w:pPr>
            <w:r>
              <w:rPr>
                <w:color w:val="14243A"/>
                <w:sz w:val="16"/>
              </w:rPr>
              <w:t>Safety and administration</w:t>
            </w:r>
          </w:p>
        </w:tc>
        <w:tc>
          <w:tcPr>
            <w:tcW w:type="dxa" w:w="1584"/>
            <w:tcMar>
              <w:top w:w="90" w:type="dxa"/>
              <w:start w:w="110" w:type="dxa"/>
              <w:bottom w:w="90" w:type="dxa"/>
              <w:end w:w="110" w:type="dxa"/>
            </w:tcMar>
            <w:vAlign w:val="top"/>
            <w:shd w:fill="F7F9FB"/>
          </w:tcPr>
          <w:p>
            <w:r>
              <w:t>1, 3, 6-9</w:t>
            </w:r>
          </w:p>
        </w:tc>
        <w:tc>
          <w:tcPr>
            <w:tcW w:type="dxa" w:w="5400"/>
            <w:tcMar>
              <w:top w:w="90" w:type="dxa"/>
              <w:start w:w="110" w:type="dxa"/>
              <w:bottom w:w="90" w:type="dxa"/>
              <w:end w:w="110" w:type="dxa"/>
            </w:tcMar>
            <w:vAlign w:val="top"/>
            <w:shd w:fill="F7F9FB"/>
          </w:tcPr>
          <w:p>
            <w:pPr>
              <w:spacing w:after="0" w:line="247" w:lineRule="auto"/>
            </w:pPr>
            <w:r>
              <w:rPr>
                <w:color w:val="14243A"/>
                <w:sz w:val="16"/>
              </w:rPr>
              <w:t>FR-058 to FR-066; NFR-OPS-04/05; NFR-SEC-06</w:t>
            </w:r>
          </w:p>
        </w:tc>
      </w:tr>
      <w:tr>
        <w:tc>
          <w:tcPr>
            <w:tcW w:type="dxa" w:w="3168"/>
            <w:tcMar>
              <w:top w:w="90" w:type="dxa"/>
              <w:start w:w="110" w:type="dxa"/>
              <w:bottom w:w="90" w:type="dxa"/>
              <w:end w:w="110" w:type="dxa"/>
            </w:tcMar>
            <w:vAlign w:val="top"/>
          </w:tcPr>
          <w:p>
            <w:pPr>
              <w:spacing w:after="0" w:line="247" w:lineRule="auto"/>
            </w:pPr>
            <w:r>
              <w:rPr>
                <w:color w:val="14243A"/>
                <w:sz w:val="16"/>
              </w:rPr>
              <w:t>Privacy, reliability and operations</w:t>
            </w:r>
          </w:p>
        </w:tc>
        <w:tc>
          <w:tcPr>
            <w:tcW w:type="dxa" w:w="1584"/>
            <w:tcMar>
              <w:top w:w="90" w:type="dxa"/>
              <w:start w:w="110" w:type="dxa"/>
              <w:bottom w:w="90" w:type="dxa"/>
              <w:end w:w="110" w:type="dxa"/>
            </w:tcMar>
            <w:vAlign w:val="top"/>
          </w:tcPr>
          <w:p>
            <w:r>
              <w:t>1, 3, 6-9</w:t>
            </w:r>
          </w:p>
        </w:tc>
        <w:tc>
          <w:tcPr>
            <w:tcW w:type="dxa" w:w="5400"/>
            <w:tcMar>
              <w:top w:w="90" w:type="dxa"/>
              <w:start w:w="110" w:type="dxa"/>
              <w:bottom w:w="90" w:type="dxa"/>
              <w:end w:w="110" w:type="dxa"/>
            </w:tcMar>
            <w:vAlign w:val="top"/>
          </w:tcPr>
          <w:p>
            <w:pPr>
              <w:spacing w:after="0" w:line="247" w:lineRule="auto"/>
            </w:pPr>
            <w:r>
              <w:rPr>
                <w:color w:val="14243A"/>
                <w:sz w:val="16"/>
              </w:rPr>
              <w:t>NFR-SEC; NFR-PERF; NFR-AV; NFR-OPS</w:t>
            </w:r>
          </w:p>
        </w:tc>
      </w:tr>
    </w:tbl>
    <w:p>
      <w:pPr>
        <w:spacing w:after="0"/>
      </w:pPr>
    </w:p>
    <w:p>
      <w:pPr>
        <w:pStyle w:val="Heading1"/>
        <w:keepNext/>
      </w:pPr>
      <w:r>
        <w:t>Source documents</w:t>
      </w:r>
    </w:p>
    <w:p>
      <w:pPr>
        <w:pStyle w:val="ListBullet"/>
        <w:spacing w:after="40"/>
        <w:ind w:left="317" w:hanging="202"/>
      </w:pPr>
      <w:r>
        <w:t>Side Quest Software Requirements Document, version 1.0, 25 September 2026.</w:t>
      </w:r>
    </w:p>
    <w:p>
      <w:pPr>
        <w:pStyle w:val="ListBullet"/>
        <w:spacing w:after="40"/>
        <w:ind w:left="317" w:hanging="202"/>
      </w:pPr>
      <w:r>
        <w:t>Side Quest Website Product and Technical Plan, including MVP scope, delivery roadmap, success measures, risks, and operating model.</w:t>
      </w:r>
    </w:p>
    <w:p>
      <w:pPr>
        <w:pStyle w:val="ListBullet"/>
        <w:spacing w:after="40"/>
        <w:ind w:left="317" w:hanging="202"/>
      </w:pPr>
      <w:r>
        <w:t>Side Quest Database Design Document, version 1.0, including schema, transaction, privacy, retention, backup, and open-decision guidance.</w:t>
      </w:r>
    </w:p>
    <w:p>
      <w:pPr>
        <w:pStyle w:val="ListBullet"/>
        <w:spacing w:after="40"/>
        <w:ind w:left="317" w:hanging="202"/>
      </w:pPr>
      <w:r>
        <w:t>SideQuest UI UX Design Specification and clickable prototype README in the prototype folder.</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Project planning document  •  Version 1.1  •  25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36273"/>
        <w:sz w:val="16"/>
      </w:rPr>
      <w:t>SIDE QUEST  /  DELIVERY CHECKPOINTS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424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4243A"/>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F45D4F"/>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4243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424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Side Quest Project Checkpoint Plan</dc:title>
  <dc:subject>Phased delivery roadmap and release gates for the Side Quest campus pilot | Independent student platform across institutions</dc:subject>
  <dc:creator>Side Quest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